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7C87" w14:textId="77777777" w:rsidR="00EA1C4A" w:rsidRDefault="00EA1C4A" w:rsidP="00E33408">
      <w:pPr>
        <w:pStyle w:val="Title"/>
        <w:rPr>
          <w:lang w:eastAsia="en-AU"/>
        </w:rPr>
      </w:pPr>
      <w:bookmarkStart w:id="0" w:name="_GoBack"/>
      <w:bookmarkEnd w:id="0"/>
    </w:p>
    <w:p w14:paraId="5B88FDF7" w14:textId="77777777" w:rsidR="00EA1C4A" w:rsidRDefault="00EA1C4A" w:rsidP="00E33408">
      <w:pPr>
        <w:pStyle w:val="Title"/>
        <w:rPr>
          <w:lang w:eastAsia="en-AU"/>
        </w:rPr>
      </w:pPr>
    </w:p>
    <w:p w14:paraId="726C07AF" w14:textId="77777777" w:rsidR="00EA1C4A" w:rsidRDefault="00EA1C4A" w:rsidP="00E33408">
      <w:pPr>
        <w:pStyle w:val="Title"/>
        <w:rPr>
          <w:lang w:eastAsia="en-AU"/>
        </w:rPr>
      </w:pPr>
    </w:p>
    <w:p w14:paraId="356FC215" w14:textId="77777777" w:rsidR="00EA1C4A" w:rsidRDefault="00EA1C4A" w:rsidP="00E33408">
      <w:pPr>
        <w:pStyle w:val="Title"/>
        <w:rPr>
          <w:lang w:eastAsia="en-AU"/>
        </w:rPr>
      </w:pPr>
    </w:p>
    <w:p w14:paraId="1B755CB3" w14:textId="77777777" w:rsidR="00EA1C4A" w:rsidRDefault="00EA1C4A" w:rsidP="00E33408">
      <w:pPr>
        <w:pStyle w:val="Title"/>
        <w:rPr>
          <w:lang w:eastAsia="en-AU"/>
        </w:rPr>
      </w:pPr>
    </w:p>
    <w:p w14:paraId="4794063D" w14:textId="17377FE4" w:rsidR="00E33408" w:rsidRDefault="00E33408" w:rsidP="00E33408">
      <w:pPr>
        <w:pStyle w:val="Title"/>
        <w:rPr>
          <w:lang w:eastAsia="en-AU"/>
        </w:rPr>
      </w:pPr>
      <w:r>
        <w:rPr>
          <w:lang w:eastAsia="en-AU"/>
        </w:rPr>
        <w:t xml:space="preserve">Issues paper: </w:t>
      </w:r>
      <w:r w:rsidR="00EA1C4A">
        <w:rPr>
          <w:lang w:eastAsia="en-AU"/>
        </w:rPr>
        <w:t xml:space="preserve">problems with </w:t>
      </w:r>
      <w:r>
        <w:rPr>
          <w:lang w:eastAsia="en-AU"/>
        </w:rPr>
        <w:t xml:space="preserve">member of a couple decisions </w:t>
      </w:r>
      <w:r w:rsidR="00EA1C4A">
        <w:rPr>
          <w:lang w:eastAsia="en-AU"/>
        </w:rPr>
        <w:t>made by Centrelink investigations teams</w:t>
      </w:r>
    </w:p>
    <w:p w14:paraId="02C08BA0" w14:textId="77777777" w:rsidR="00562D60" w:rsidRDefault="00562D60" w:rsidP="00562D60"/>
    <w:p w14:paraId="2FB93AEA" w14:textId="77777777" w:rsidR="00562D60" w:rsidRDefault="00562D60" w:rsidP="00562D60"/>
    <w:p w14:paraId="7015E8EA" w14:textId="77777777" w:rsidR="00562D60" w:rsidRDefault="00562D60" w:rsidP="00562D60"/>
    <w:p w14:paraId="13955BE9" w14:textId="77777777" w:rsidR="00562D60" w:rsidRDefault="00562D60" w:rsidP="00562D60"/>
    <w:p w14:paraId="63F3B9B5" w14:textId="77777777" w:rsidR="00562D60" w:rsidRDefault="00562D60" w:rsidP="00562D60"/>
    <w:p w14:paraId="18283A36" w14:textId="77777777" w:rsidR="00562D60" w:rsidRDefault="00562D60" w:rsidP="00562D60"/>
    <w:p w14:paraId="5A4DDAD8" w14:textId="77777777" w:rsidR="00562D60" w:rsidRDefault="00562D60" w:rsidP="00562D60"/>
    <w:p w14:paraId="77D17744" w14:textId="77777777" w:rsidR="00562D60" w:rsidRDefault="00562D60" w:rsidP="00562D60"/>
    <w:p w14:paraId="39D97400" w14:textId="77777777" w:rsidR="00562D60" w:rsidRDefault="00562D60" w:rsidP="00562D60"/>
    <w:p w14:paraId="68584C0C" w14:textId="342AAB1A" w:rsidR="00562D60" w:rsidRDefault="00562D60" w:rsidP="00562D60">
      <w:pPr>
        <w:rPr>
          <w:rFonts w:asciiTheme="majorHAnsi" w:hAnsiTheme="majorHAnsi"/>
          <w:color w:val="365F91" w:themeColor="accent1" w:themeShade="BF"/>
          <w:sz w:val="44"/>
          <w:szCs w:val="44"/>
        </w:rPr>
      </w:pPr>
      <w:r w:rsidRPr="00562D60">
        <w:rPr>
          <w:rFonts w:asciiTheme="majorHAnsi" w:hAnsiTheme="majorHAnsi"/>
          <w:color w:val="365F91" w:themeColor="accent1" w:themeShade="BF"/>
          <w:sz w:val="44"/>
          <w:szCs w:val="44"/>
        </w:rPr>
        <w:t>Welfare Rights Centre, Sydney</w:t>
      </w:r>
    </w:p>
    <w:p w14:paraId="6643E70F" w14:textId="1E6A657E" w:rsidR="00562D60" w:rsidRPr="00562D60" w:rsidRDefault="00562D60" w:rsidP="00562D60">
      <w:pPr>
        <w:rPr>
          <w:rFonts w:asciiTheme="majorHAnsi" w:hAnsiTheme="majorHAnsi"/>
          <w:color w:val="365F91" w:themeColor="accent1" w:themeShade="BF"/>
          <w:sz w:val="44"/>
          <w:szCs w:val="44"/>
        </w:rPr>
      </w:pPr>
      <w:r w:rsidRPr="00562D60">
        <w:rPr>
          <w:rFonts w:asciiTheme="majorHAnsi" w:hAnsiTheme="majorHAnsi"/>
          <w:color w:val="365F91" w:themeColor="accent1" w:themeShade="BF"/>
          <w:sz w:val="44"/>
          <w:szCs w:val="44"/>
        </w:rPr>
        <w:t>September 2012</w:t>
      </w:r>
    </w:p>
    <w:p w14:paraId="3A12D0E8" w14:textId="28CF4962" w:rsidR="0066058A" w:rsidRDefault="0066058A">
      <w:pPr>
        <w:spacing w:after="0" w:line="240" w:lineRule="auto"/>
      </w:pPr>
      <w:r>
        <w:br w:type="page"/>
      </w:r>
    </w:p>
    <w:p w14:paraId="1005BE9B" w14:textId="64ED5CCC" w:rsidR="00E00C81" w:rsidRDefault="00E00C81" w:rsidP="00E00C81">
      <w:pPr>
        <w:pStyle w:val="TOCHeading"/>
      </w:pPr>
    </w:p>
    <w:sdt>
      <w:sdtPr>
        <w:rPr>
          <w:rFonts w:asciiTheme="minorHAnsi" w:eastAsiaTheme="minorHAnsi" w:hAnsiTheme="minorHAnsi" w:cstheme="minorBidi"/>
          <w:b w:val="0"/>
          <w:bCs w:val="0"/>
          <w:color w:val="auto"/>
          <w:sz w:val="22"/>
          <w:szCs w:val="22"/>
        </w:rPr>
        <w:id w:val="-1785269133"/>
        <w:docPartObj>
          <w:docPartGallery w:val="Table of Contents"/>
          <w:docPartUnique/>
        </w:docPartObj>
      </w:sdtPr>
      <w:sdtEndPr>
        <w:rPr>
          <w:noProof/>
        </w:rPr>
      </w:sdtEndPr>
      <w:sdtContent>
        <w:p w14:paraId="476E0398" w14:textId="1D75C9CD" w:rsidR="00E00C81" w:rsidRDefault="00E00C81">
          <w:pPr>
            <w:pStyle w:val="TOCHeading"/>
          </w:pPr>
          <w:r>
            <w:t>Table of Contents</w:t>
          </w:r>
        </w:p>
        <w:p w14:paraId="472477B4" w14:textId="77777777" w:rsidR="00E00C81" w:rsidRPr="00491EDD" w:rsidRDefault="00E00C81">
          <w:pPr>
            <w:pStyle w:val="TOC1"/>
            <w:tabs>
              <w:tab w:val="left" w:pos="370"/>
              <w:tab w:val="right" w:leader="dot" w:pos="8630"/>
            </w:tabs>
            <w:rPr>
              <w:rFonts w:asciiTheme="majorHAnsi" w:eastAsiaTheme="minorEastAsia" w:hAnsiTheme="majorHAnsi"/>
              <w:b w:val="0"/>
              <w:noProof/>
              <w:color w:val="365F91" w:themeColor="accent1" w:themeShade="BF"/>
              <w:lang w:val="en-US" w:eastAsia="ja-JP"/>
            </w:rPr>
          </w:pPr>
          <w:r w:rsidRPr="00491EDD">
            <w:rPr>
              <w:rFonts w:asciiTheme="majorHAnsi" w:hAnsiTheme="majorHAnsi"/>
              <w:b w:val="0"/>
              <w:color w:val="365F91" w:themeColor="accent1" w:themeShade="BF"/>
            </w:rPr>
            <w:fldChar w:fldCharType="begin"/>
          </w:r>
          <w:r w:rsidRPr="00491EDD">
            <w:rPr>
              <w:rFonts w:asciiTheme="majorHAnsi" w:hAnsiTheme="majorHAnsi"/>
              <w:color w:val="365F91" w:themeColor="accent1" w:themeShade="BF"/>
            </w:rPr>
            <w:instrText xml:space="preserve"> TOC \o "1-3" \h \z \u </w:instrText>
          </w:r>
          <w:r w:rsidRPr="00491EDD">
            <w:rPr>
              <w:rFonts w:asciiTheme="majorHAnsi" w:hAnsiTheme="majorHAnsi"/>
              <w:b w:val="0"/>
              <w:color w:val="365F91" w:themeColor="accent1" w:themeShade="BF"/>
            </w:rPr>
            <w:fldChar w:fldCharType="separate"/>
          </w:r>
          <w:r w:rsidRPr="00491EDD">
            <w:rPr>
              <w:rFonts w:asciiTheme="majorHAnsi" w:hAnsiTheme="majorHAnsi"/>
              <w:noProof/>
              <w:color w:val="365F91" w:themeColor="accent1" w:themeShade="BF"/>
              <w:lang w:eastAsia="en-AU"/>
            </w:rPr>
            <w:t>1</w:t>
          </w:r>
          <w:r w:rsidRPr="00491EDD">
            <w:rPr>
              <w:rFonts w:asciiTheme="majorHAnsi" w:eastAsiaTheme="minorEastAsia" w:hAnsiTheme="majorHAnsi"/>
              <w:b w:val="0"/>
              <w:noProof/>
              <w:color w:val="365F91" w:themeColor="accent1" w:themeShade="BF"/>
              <w:lang w:val="en-US" w:eastAsia="ja-JP"/>
            </w:rPr>
            <w:tab/>
          </w:r>
          <w:r w:rsidRPr="00491EDD">
            <w:rPr>
              <w:rFonts w:asciiTheme="majorHAnsi" w:hAnsiTheme="majorHAnsi"/>
              <w:noProof/>
              <w:color w:val="365F91" w:themeColor="accent1" w:themeShade="BF"/>
              <w:lang w:eastAsia="en-AU"/>
            </w:rPr>
            <w:t>Background to the paper</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_Toc208992011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3</w:t>
          </w:r>
          <w:r w:rsidRPr="00491EDD">
            <w:rPr>
              <w:rFonts w:asciiTheme="majorHAnsi" w:hAnsiTheme="majorHAnsi"/>
              <w:noProof/>
              <w:color w:val="365F91" w:themeColor="accent1" w:themeShade="BF"/>
            </w:rPr>
            <w:fldChar w:fldCharType="end"/>
          </w:r>
        </w:p>
        <w:p w14:paraId="5D111905" w14:textId="77777777" w:rsidR="00E00C81" w:rsidRPr="00491EDD" w:rsidRDefault="00E00C81">
          <w:pPr>
            <w:pStyle w:val="TOC1"/>
            <w:tabs>
              <w:tab w:val="left" w:pos="370"/>
              <w:tab w:val="right" w:leader="dot" w:pos="8630"/>
            </w:tabs>
            <w:rPr>
              <w:rFonts w:asciiTheme="majorHAnsi" w:eastAsiaTheme="minorEastAsia" w:hAnsiTheme="majorHAnsi"/>
              <w:b w:val="0"/>
              <w:noProof/>
              <w:color w:val="365F91" w:themeColor="accent1" w:themeShade="BF"/>
              <w:lang w:val="en-US" w:eastAsia="ja-JP"/>
            </w:rPr>
          </w:pPr>
          <w:r w:rsidRPr="00491EDD">
            <w:rPr>
              <w:rFonts w:asciiTheme="majorHAnsi" w:hAnsiTheme="majorHAnsi"/>
              <w:noProof/>
              <w:color w:val="365F91" w:themeColor="accent1" w:themeShade="BF"/>
            </w:rPr>
            <w:t>2</w:t>
          </w:r>
          <w:r w:rsidRPr="00491EDD">
            <w:rPr>
              <w:rFonts w:asciiTheme="majorHAnsi" w:eastAsiaTheme="minorEastAsia" w:hAnsiTheme="majorHAnsi"/>
              <w:b w:val="0"/>
              <w:noProof/>
              <w:color w:val="365F91" w:themeColor="accent1" w:themeShade="BF"/>
              <w:lang w:val="en-US" w:eastAsia="ja-JP"/>
            </w:rPr>
            <w:tab/>
          </w:r>
          <w:r w:rsidRPr="00491EDD">
            <w:rPr>
              <w:rFonts w:asciiTheme="majorHAnsi" w:hAnsiTheme="majorHAnsi"/>
              <w:noProof/>
              <w:color w:val="365F91" w:themeColor="accent1" w:themeShade="BF"/>
            </w:rPr>
            <w:t>Recommendations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_Toc208992012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4</w:t>
          </w:r>
          <w:r w:rsidRPr="00491EDD">
            <w:rPr>
              <w:rFonts w:asciiTheme="majorHAnsi" w:hAnsiTheme="majorHAnsi"/>
              <w:noProof/>
              <w:color w:val="365F91" w:themeColor="accent1" w:themeShade="BF"/>
            </w:rPr>
            <w:fldChar w:fldCharType="end"/>
          </w:r>
        </w:p>
        <w:p w14:paraId="73F9AC7B" w14:textId="77777777" w:rsidR="00E00C81" w:rsidRPr="00491EDD" w:rsidRDefault="00E00C81">
          <w:pPr>
            <w:pStyle w:val="TOC1"/>
            <w:tabs>
              <w:tab w:val="left" w:pos="370"/>
              <w:tab w:val="right" w:leader="dot" w:pos="8630"/>
            </w:tabs>
            <w:rPr>
              <w:rFonts w:asciiTheme="majorHAnsi" w:eastAsiaTheme="minorEastAsia" w:hAnsiTheme="majorHAnsi"/>
              <w:b w:val="0"/>
              <w:noProof/>
              <w:color w:val="365F91" w:themeColor="accent1" w:themeShade="BF"/>
              <w:lang w:val="en-US" w:eastAsia="ja-JP"/>
            </w:rPr>
          </w:pPr>
          <w:r w:rsidRPr="00491EDD">
            <w:rPr>
              <w:rFonts w:asciiTheme="majorHAnsi" w:hAnsiTheme="majorHAnsi"/>
              <w:noProof/>
              <w:color w:val="365F91" w:themeColor="accent1" w:themeShade="BF"/>
              <w:lang w:eastAsia="en-AU"/>
            </w:rPr>
            <w:t>3</w:t>
          </w:r>
          <w:r w:rsidRPr="00491EDD">
            <w:rPr>
              <w:rFonts w:asciiTheme="majorHAnsi" w:eastAsiaTheme="minorEastAsia" w:hAnsiTheme="majorHAnsi"/>
              <w:b w:val="0"/>
              <w:noProof/>
              <w:color w:val="365F91" w:themeColor="accent1" w:themeShade="BF"/>
              <w:lang w:val="en-US" w:eastAsia="ja-JP"/>
            </w:rPr>
            <w:tab/>
          </w:r>
          <w:r w:rsidRPr="00491EDD">
            <w:rPr>
              <w:rFonts w:asciiTheme="majorHAnsi" w:hAnsiTheme="majorHAnsi"/>
              <w:noProof/>
              <w:color w:val="365F91" w:themeColor="accent1" w:themeShade="BF"/>
              <w:lang w:eastAsia="en-AU"/>
            </w:rPr>
            <w:t>Problems with Centrelink decision-making</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_Toc208992013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5</w:t>
          </w:r>
          <w:r w:rsidRPr="00491EDD">
            <w:rPr>
              <w:rFonts w:asciiTheme="majorHAnsi" w:hAnsiTheme="majorHAnsi"/>
              <w:noProof/>
              <w:color w:val="365F91" w:themeColor="accent1" w:themeShade="BF"/>
            </w:rPr>
            <w:fldChar w:fldCharType="end"/>
          </w:r>
        </w:p>
        <w:p w14:paraId="4C5AD874"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3.1</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Many decisions overturned on appeal</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_Toc208992014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5</w:t>
          </w:r>
          <w:r w:rsidRPr="00491EDD">
            <w:rPr>
              <w:rFonts w:asciiTheme="majorHAnsi" w:hAnsiTheme="majorHAnsi"/>
              <w:noProof/>
              <w:color w:val="365F91" w:themeColor="accent1" w:themeShade="BF"/>
            </w:rPr>
            <w:fldChar w:fldCharType="end"/>
          </w:r>
        </w:p>
        <w:p w14:paraId="542EB806"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3.2</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Failure to consider all of a person’s circumstances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_Toc208992015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6</w:t>
          </w:r>
          <w:r w:rsidRPr="00491EDD">
            <w:rPr>
              <w:rFonts w:asciiTheme="majorHAnsi" w:hAnsiTheme="majorHAnsi"/>
              <w:noProof/>
              <w:color w:val="365F91" w:themeColor="accent1" w:themeShade="BF"/>
            </w:rPr>
            <w:fldChar w:fldCharType="end"/>
          </w:r>
        </w:p>
        <w:p w14:paraId="1F56AEE0"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3.3</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Over-reliance on documentary evidence</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_Toc208992016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7</w:t>
          </w:r>
          <w:r w:rsidRPr="00491EDD">
            <w:rPr>
              <w:rFonts w:asciiTheme="majorHAnsi" w:hAnsiTheme="majorHAnsi"/>
              <w:noProof/>
              <w:color w:val="365F91" w:themeColor="accent1" w:themeShade="BF"/>
            </w:rPr>
            <w:fldChar w:fldCharType="end"/>
          </w:r>
        </w:p>
        <w:p w14:paraId="5B7F820B"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3.4</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Clandestine nature of investigations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_Toc208992017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7</w:t>
          </w:r>
          <w:r w:rsidRPr="00491EDD">
            <w:rPr>
              <w:rFonts w:asciiTheme="majorHAnsi" w:hAnsiTheme="majorHAnsi"/>
              <w:noProof/>
              <w:color w:val="365F91" w:themeColor="accent1" w:themeShade="BF"/>
            </w:rPr>
            <w:fldChar w:fldCharType="end"/>
          </w:r>
        </w:p>
        <w:p w14:paraId="45ACC274"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3.5</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Undue weight on factors that are effectively beyond the person’s control</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_Toc208992018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8</w:t>
          </w:r>
          <w:r w:rsidRPr="00491EDD">
            <w:rPr>
              <w:rFonts w:asciiTheme="majorHAnsi" w:hAnsiTheme="majorHAnsi"/>
              <w:noProof/>
              <w:color w:val="365F91" w:themeColor="accent1" w:themeShade="BF"/>
            </w:rPr>
            <w:fldChar w:fldCharType="end"/>
          </w:r>
        </w:p>
        <w:p w14:paraId="0FACA98B"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3.6</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Failure to have sufficient regard to cultural factors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_Toc208992019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8</w:t>
          </w:r>
          <w:r w:rsidRPr="00491EDD">
            <w:rPr>
              <w:rFonts w:asciiTheme="majorHAnsi" w:hAnsiTheme="majorHAnsi"/>
              <w:noProof/>
              <w:color w:val="365F91" w:themeColor="accent1" w:themeShade="BF"/>
            </w:rPr>
            <w:fldChar w:fldCharType="end"/>
          </w:r>
        </w:p>
        <w:p w14:paraId="6DF10552"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3.7</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Problems with backdating decisions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_Toc208992020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9</w:t>
          </w:r>
          <w:r w:rsidRPr="00491EDD">
            <w:rPr>
              <w:rFonts w:asciiTheme="majorHAnsi" w:hAnsiTheme="majorHAnsi"/>
              <w:noProof/>
              <w:color w:val="365F91" w:themeColor="accent1" w:themeShade="BF"/>
            </w:rPr>
            <w:fldChar w:fldCharType="end"/>
          </w:r>
        </w:p>
        <w:p w14:paraId="52661419"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3.8</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Cost to individuals</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_Toc208992021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9</w:t>
          </w:r>
          <w:r w:rsidRPr="00491EDD">
            <w:rPr>
              <w:rFonts w:asciiTheme="majorHAnsi" w:hAnsiTheme="majorHAnsi"/>
              <w:noProof/>
              <w:color w:val="365F91" w:themeColor="accent1" w:themeShade="BF"/>
            </w:rPr>
            <w:fldChar w:fldCharType="end"/>
          </w:r>
        </w:p>
        <w:p w14:paraId="311DDFEB" w14:textId="77777777" w:rsidR="00E00C81" w:rsidRPr="00491EDD" w:rsidRDefault="00E00C81">
          <w:pPr>
            <w:pStyle w:val="TOC2"/>
            <w:tabs>
              <w:tab w:val="left" w:pos="792"/>
              <w:tab w:val="right" w:leader="dot" w:pos="8630"/>
            </w:tabs>
            <w:rPr>
              <w:rFonts w:asciiTheme="majorHAnsi" w:eastAsiaTheme="minorEastAsia" w:hAnsiTheme="majorHAnsi"/>
              <w:b w:val="0"/>
              <w:noProof/>
              <w:color w:val="365F91" w:themeColor="accent1" w:themeShade="BF"/>
              <w:sz w:val="24"/>
              <w:szCs w:val="24"/>
              <w:lang w:val="en-US" w:eastAsia="ja-JP"/>
            </w:rPr>
          </w:pPr>
          <w:r w:rsidRPr="00491EDD">
            <w:rPr>
              <w:rFonts w:asciiTheme="majorHAnsi" w:hAnsiTheme="majorHAnsi"/>
              <w:noProof/>
              <w:color w:val="365F91" w:themeColor="accent1" w:themeShade="BF"/>
              <w:lang w:eastAsia="en-AU"/>
            </w:rPr>
            <w:t>3.9</w:t>
          </w:r>
          <w:r w:rsidRPr="00491EDD">
            <w:rPr>
              <w:rFonts w:asciiTheme="majorHAnsi" w:eastAsiaTheme="minorEastAsia" w:hAnsiTheme="majorHAnsi"/>
              <w:b w:val="0"/>
              <w:noProof/>
              <w:color w:val="365F91" w:themeColor="accent1" w:themeShade="BF"/>
              <w:sz w:val="24"/>
              <w:szCs w:val="24"/>
              <w:lang w:val="en-US" w:eastAsia="ja-JP"/>
            </w:rPr>
            <w:tab/>
          </w:r>
          <w:r w:rsidRPr="00491EDD">
            <w:rPr>
              <w:rFonts w:asciiTheme="majorHAnsi" w:hAnsiTheme="majorHAnsi"/>
              <w:noProof/>
              <w:color w:val="365F91" w:themeColor="accent1" w:themeShade="BF"/>
              <w:lang w:eastAsia="en-AU"/>
            </w:rPr>
            <w:t>Cost to public purse</w:t>
          </w:r>
          <w:r w:rsidRPr="00491EDD">
            <w:rPr>
              <w:rFonts w:asciiTheme="majorHAnsi" w:hAnsiTheme="majorHAnsi"/>
              <w:noProof/>
              <w:color w:val="365F91" w:themeColor="accent1" w:themeShade="BF"/>
            </w:rPr>
            <w:tab/>
          </w:r>
          <w:r w:rsidRPr="00491EDD">
            <w:rPr>
              <w:rFonts w:asciiTheme="majorHAnsi" w:hAnsiTheme="majorHAnsi"/>
              <w:noProof/>
              <w:color w:val="365F91" w:themeColor="accent1" w:themeShade="BF"/>
            </w:rPr>
            <w:fldChar w:fldCharType="begin"/>
          </w:r>
          <w:r w:rsidRPr="00491EDD">
            <w:rPr>
              <w:rFonts w:asciiTheme="majorHAnsi" w:hAnsiTheme="majorHAnsi"/>
              <w:noProof/>
              <w:color w:val="365F91" w:themeColor="accent1" w:themeShade="BF"/>
            </w:rPr>
            <w:instrText xml:space="preserve"> PAGEREF _Toc208992022 \h </w:instrText>
          </w:r>
          <w:r w:rsidRPr="00491EDD">
            <w:rPr>
              <w:rFonts w:asciiTheme="majorHAnsi" w:hAnsiTheme="majorHAnsi"/>
              <w:noProof/>
              <w:color w:val="365F91" w:themeColor="accent1" w:themeShade="BF"/>
            </w:rPr>
          </w:r>
          <w:r w:rsidRPr="00491EDD">
            <w:rPr>
              <w:rFonts w:asciiTheme="majorHAnsi" w:hAnsiTheme="majorHAnsi"/>
              <w:noProof/>
              <w:color w:val="365F91" w:themeColor="accent1" w:themeShade="BF"/>
            </w:rPr>
            <w:fldChar w:fldCharType="separate"/>
          </w:r>
          <w:r w:rsidRPr="00491EDD">
            <w:rPr>
              <w:rFonts w:asciiTheme="majorHAnsi" w:hAnsiTheme="majorHAnsi"/>
              <w:noProof/>
              <w:color w:val="365F91" w:themeColor="accent1" w:themeShade="BF"/>
            </w:rPr>
            <w:t>10</w:t>
          </w:r>
          <w:r w:rsidRPr="00491EDD">
            <w:rPr>
              <w:rFonts w:asciiTheme="majorHAnsi" w:hAnsiTheme="majorHAnsi"/>
              <w:noProof/>
              <w:color w:val="365F91" w:themeColor="accent1" w:themeShade="BF"/>
            </w:rPr>
            <w:fldChar w:fldCharType="end"/>
          </w:r>
        </w:p>
        <w:p w14:paraId="628CBC67" w14:textId="6224163B" w:rsidR="00E00C81" w:rsidRPr="00491EDD" w:rsidRDefault="00E00C81">
          <w:pPr>
            <w:rPr>
              <w:rFonts w:asciiTheme="majorHAnsi" w:hAnsiTheme="majorHAnsi"/>
              <w:color w:val="365F91" w:themeColor="accent1" w:themeShade="BF"/>
            </w:rPr>
          </w:pPr>
          <w:r w:rsidRPr="00491EDD">
            <w:rPr>
              <w:rFonts w:asciiTheme="majorHAnsi" w:hAnsiTheme="majorHAnsi"/>
              <w:b/>
              <w:bCs/>
              <w:noProof/>
              <w:color w:val="365F91" w:themeColor="accent1" w:themeShade="BF"/>
            </w:rPr>
            <w:fldChar w:fldCharType="end"/>
          </w:r>
        </w:p>
      </w:sdtContent>
    </w:sdt>
    <w:p w14:paraId="333EF63D" w14:textId="010DEBE2" w:rsidR="00896C84" w:rsidRDefault="00896C84">
      <w:pPr>
        <w:spacing w:after="0" w:line="240" w:lineRule="auto"/>
        <w:rPr>
          <w:rFonts w:asciiTheme="majorHAnsi" w:eastAsiaTheme="majorEastAsia" w:hAnsiTheme="majorHAnsi" w:cstheme="majorBidi"/>
          <w:b/>
          <w:bCs/>
          <w:color w:val="365F91" w:themeColor="accent1" w:themeShade="BF"/>
          <w:sz w:val="28"/>
          <w:szCs w:val="28"/>
        </w:rPr>
      </w:pPr>
      <w:r>
        <w:br w:type="page"/>
      </w:r>
    </w:p>
    <w:p w14:paraId="0E1EF48D" w14:textId="77777777" w:rsidR="0066058A" w:rsidRDefault="0066058A" w:rsidP="00E00C81">
      <w:pPr>
        <w:pStyle w:val="TOCHeading"/>
      </w:pPr>
    </w:p>
    <w:p w14:paraId="7877B5E9" w14:textId="77777777" w:rsidR="0066058A" w:rsidRPr="0066058A" w:rsidRDefault="0066058A" w:rsidP="0066058A"/>
    <w:p w14:paraId="14C024CF" w14:textId="77777777" w:rsidR="00B2494F" w:rsidRPr="00296B29" w:rsidRDefault="00B2494F" w:rsidP="0020265A">
      <w:pPr>
        <w:pStyle w:val="Heading1"/>
        <w:rPr>
          <w:lang w:eastAsia="en-AU"/>
        </w:rPr>
      </w:pPr>
      <w:bookmarkStart w:id="1" w:name="_Toc208992011"/>
      <w:r>
        <w:rPr>
          <w:lang w:eastAsia="en-AU"/>
        </w:rPr>
        <w:t>Background to the paper</w:t>
      </w:r>
      <w:bookmarkEnd w:id="1"/>
    </w:p>
    <w:p w14:paraId="2A50DA17" w14:textId="4C7FC6EC" w:rsidR="00B2494F" w:rsidRPr="00317493" w:rsidRDefault="00B2494F" w:rsidP="00E33408">
      <w:pPr>
        <w:pStyle w:val="AARenouf-Body1"/>
      </w:pPr>
      <w:r w:rsidRPr="00317493">
        <w:t>The Welfare Rights Centre, Sydney is receiving an increasing number of calls from</w:t>
      </w:r>
      <w:r>
        <w:t xml:space="preserve"> people</w:t>
      </w:r>
      <w:r w:rsidRPr="00317493">
        <w:t xml:space="preserve"> who say Centrelink has accused them of </w:t>
      </w:r>
      <w:r>
        <w:t xml:space="preserve">having had </w:t>
      </w:r>
      <w:r w:rsidRPr="00317493">
        <w:t xml:space="preserve">a partner </w:t>
      </w:r>
      <w:r>
        <w:t>over a long period and has asked them to repay a very large debt</w:t>
      </w:r>
      <w:r w:rsidRPr="00317493">
        <w:t>.</w:t>
      </w:r>
      <w:r w:rsidRPr="00296B29">
        <w:t xml:space="preserve"> </w:t>
      </w:r>
      <w:r>
        <w:t xml:space="preserve">Some </w:t>
      </w:r>
      <w:r w:rsidRPr="00317493">
        <w:t>Centrelink decisions about "member</w:t>
      </w:r>
      <w:r w:rsidR="00411A83">
        <w:t>s</w:t>
      </w:r>
      <w:r w:rsidRPr="00317493">
        <w:t xml:space="preserve"> of a couple" are backdated to create massive debts, some ranging from $100,000 to $200,000.</w:t>
      </w:r>
    </w:p>
    <w:p w14:paraId="3B03FD24" w14:textId="1F882CD8" w:rsidR="00D80CCA" w:rsidRDefault="00B2494F" w:rsidP="00E33408">
      <w:pPr>
        <w:pStyle w:val="AARenouf-Body1"/>
      </w:pPr>
      <w:r>
        <w:t>Many of these clients are vulnerable women and include single mothers, women from non-English speaking backgrounds and women who have experience</w:t>
      </w:r>
      <w:r w:rsidR="007A130F">
        <w:t>d</w:t>
      </w:r>
      <w:r>
        <w:t xml:space="preserve"> domestic and family violence. </w:t>
      </w:r>
    </w:p>
    <w:p w14:paraId="61121F45" w14:textId="0F4673E9" w:rsidR="00D80CCA" w:rsidRPr="009A7D56" w:rsidRDefault="00B2494F" w:rsidP="00E33408">
      <w:pPr>
        <w:pStyle w:val="AARenouf-Body1"/>
      </w:pPr>
      <w:r>
        <w:t>The question of who is a member of a couple (or not) is one of the most difficult assessments that Centrelink officers are required to make. The Federal Court has commented on how difficult these decisions can be. Because these assessments are so complicated, and the possibility of error is so high, it is critical that complex personal, social and cultural issues are taken into account from the outset.</w:t>
      </w:r>
    </w:p>
    <w:p w14:paraId="669B7746" w14:textId="302B58B6" w:rsidR="00B2494F" w:rsidRPr="00616497" w:rsidRDefault="00B2494F" w:rsidP="00E33408">
      <w:pPr>
        <w:pStyle w:val="AARenouf-Body1"/>
      </w:pPr>
      <w:r w:rsidRPr="00616497">
        <w:rPr>
          <w:rStyle w:val="Strong"/>
          <w:b w:val="0"/>
        </w:rPr>
        <w:t xml:space="preserve">The Minister for Human Services has agreed to examine circumstances where large Centrelink overpayments can arise when Centrelink backdates a decision that a person is a member of a couple. </w:t>
      </w:r>
      <w:r w:rsidRPr="00616497">
        <w:t>The Minister for Human Services responded quickly to the report on this issue in the media in August 2012 and asked his Department to have discussions with Centrelink staff on cultural issues</w:t>
      </w:r>
      <w:r w:rsidR="007A130F">
        <w:t xml:space="preserve"> affecting member of a couple decisions</w:t>
      </w:r>
      <w:r w:rsidRPr="00616497">
        <w:t xml:space="preserve">. </w:t>
      </w:r>
    </w:p>
    <w:p w14:paraId="753B99FC" w14:textId="20ED1D0B" w:rsidR="00B2494F" w:rsidRDefault="00B2494F" w:rsidP="00E33408">
      <w:pPr>
        <w:pStyle w:val="AARenouf-Body1"/>
      </w:pPr>
      <w:r>
        <w:t>The Welfare Rights Centre welcome</w:t>
      </w:r>
      <w:r w:rsidR="007A130F">
        <w:t>s</w:t>
      </w:r>
      <w:r>
        <w:t xml:space="preserve"> the invitation from the Minister’s office to provide a discussion paper on the issue for the Minister’s consideration.</w:t>
      </w:r>
    </w:p>
    <w:p w14:paraId="2994F3E7" w14:textId="26ED6C0B" w:rsidR="00562027" w:rsidRDefault="00AD4656" w:rsidP="0020265A">
      <w:pPr>
        <w:pStyle w:val="Heading1"/>
      </w:pPr>
      <w:bookmarkStart w:id="2" w:name="_Toc208992012"/>
      <w:r>
        <w:t>Recommendations</w:t>
      </w:r>
      <w:bookmarkEnd w:id="2"/>
    </w:p>
    <w:p w14:paraId="2560638C" w14:textId="4BC5496A" w:rsidR="00B36B68" w:rsidRPr="00394CDD" w:rsidRDefault="00B2494F" w:rsidP="00E33408">
      <w:pPr>
        <w:pStyle w:val="AARenouf-Body1"/>
        <w:rPr>
          <w:rFonts w:cs="Arial"/>
        </w:rPr>
      </w:pPr>
      <w:r w:rsidRPr="00394CDD">
        <w:rPr>
          <w:rFonts w:cs="Arial"/>
        </w:rPr>
        <w:t>The paper identifies and analyses the main issues of concern as follows:</w:t>
      </w:r>
    </w:p>
    <w:p w14:paraId="3480C2F7" w14:textId="0E56865A" w:rsidR="00A04D16" w:rsidRPr="00394CDD" w:rsidRDefault="00B36B68" w:rsidP="00600677">
      <w:pPr>
        <w:pStyle w:val="AARenouf-Body1"/>
        <w:numPr>
          <w:ilvl w:val="0"/>
          <w:numId w:val="31"/>
        </w:numPr>
        <w:spacing w:after="120"/>
        <w:ind w:left="357" w:firstLine="68"/>
        <w:rPr>
          <w:rFonts w:cs="Arial"/>
        </w:rPr>
      </w:pPr>
      <w:r w:rsidRPr="00394CDD">
        <w:rPr>
          <w:rFonts w:cs="Arial"/>
        </w:rPr>
        <w:t>Number of</w:t>
      </w:r>
      <w:r w:rsidR="00A04D16" w:rsidRPr="00394CDD">
        <w:rPr>
          <w:rFonts w:cs="Arial"/>
        </w:rPr>
        <w:t xml:space="preserve"> decisions overturned on appeal</w:t>
      </w:r>
    </w:p>
    <w:p w14:paraId="4AC45C71"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Failure to consider all of a person’s circumstances</w:t>
      </w:r>
    </w:p>
    <w:p w14:paraId="6A1B254D"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Over-reliance on documentary evidence</w:t>
      </w:r>
    </w:p>
    <w:p w14:paraId="2E72FB67"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Clandestine nature of investigations</w:t>
      </w:r>
    </w:p>
    <w:p w14:paraId="0C235EA3"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Undue weight on factors that are effectively beyond the person’s control</w:t>
      </w:r>
    </w:p>
    <w:p w14:paraId="43F239E1"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lastRenderedPageBreak/>
        <w:t>Failure to have sufficient regard to cultural factors</w:t>
      </w:r>
    </w:p>
    <w:p w14:paraId="3EA33C16"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Problems with backdating decisions</w:t>
      </w:r>
    </w:p>
    <w:p w14:paraId="1744FF8C" w14:textId="77777777" w:rsidR="00A04D16" w:rsidRPr="00394CDD" w:rsidRDefault="00A04D16" w:rsidP="00600677">
      <w:pPr>
        <w:pStyle w:val="AARenouf-Body1"/>
        <w:numPr>
          <w:ilvl w:val="0"/>
          <w:numId w:val="31"/>
        </w:numPr>
        <w:spacing w:after="120"/>
        <w:ind w:left="357" w:firstLine="68"/>
        <w:rPr>
          <w:rFonts w:cs="Arial"/>
        </w:rPr>
      </w:pPr>
      <w:r w:rsidRPr="00394CDD">
        <w:rPr>
          <w:rFonts w:cs="Arial"/>
        </w:rPr>
        <w:t>Cost to individuals</w:t>
      </w:r>
    </w:p>
    <w:p w14:paraId="4D0C5262" w14:textId="77777777" w:rsidR="00A04D16" w:rsidRDefault="00A04D16" w:rsidP="00600677">
      <w:pPr>
        <w:pStyle w:val="AARenouf-Body1"/>
        <w:numPr>
          <w:ilvl w:val="0"/>
          <w:numId w:val="31"/>
        </w:numPr>
        <w:spacing w:after="120"/>
        <w:ind w:left="357" w:firstLine="68"/>
        <w:rPr>
          <w:rFonts w:cs="Arial"/>
        </w:rPr>
      </w:pPr>
      <w:r w:rsidRPr="00394CDD">
        <w:rPr>
          <w:rFonts w:cs="Arial"/>
        </w:rPr>
        <w:t>Cost to public purse</w:t>
      </w:r>
    </w:p>
    <w:p w14:paraId="4BBE9ED6" w14:textId="77777777" w:rsidR="006227DA" w:rsidRPr="00394CDD" w:rsidRDefault="006227DA" w:rsidP="006227DA">
      <w:pPr>
        <w:pStyle w:val="AARenouf-Body1"/>
        <w:spacing w:after="0"/>
        <w:ind w:left="357"/>
        <w:rPr>
          <w:rFonts w:cs="Arial"/>
        </w:rPr>
      </w:pPr>
    </w:p>
    <w:p w14:paraId="68732BB3" w14:textId="59E9058B" w:rsidR="00B36B68" w:rsidRPr="00394CDD" w:rsidRDefault="00B36B68" w:rsidP="00C47F92">
      <w:pPr>
        <w:rPr>
          <w:rFonts w:asciiTheme="majorHAnsi" w:hAnsiTheme="majorHAnsi" w:cs="Arial"/>
        </w:rPr>
      </w:pPr>
      <w:r w:rsidRPr="00394CDD">
        <w:rPr>
          <w:rFonts w:asciiTheme="majorHAnsi" w:hAnsiTheme="majorHAnsi" w:cs="Arial"/>
        </w:rPr>
        <w:t>These issues are discus</w:t>
      </w:r>
      <w:r w:rsidR="00394CDD">
        <w:rPr>
          <w:rFonts w:asciiTheme="majorHAnsi" w:hAnsiTheme="majorHAnsi" w:cs="Arial"/>
        </w:rPr>
        <w:t>sed in turn below in section 3</w:t>
      </w:r>
      <w:r w:rsidRPr="00394CDD">
        <w:rPr>
          <w:rFonts w:asciiTheme="majorHAnsi" w:hAnsiTheme="majorHAnsi" w:cs="Arial"/>
        </w:rPr>
        <w:t>.</w:t>
      </w:r>
    </w:p>
    <w:p w14:paraId="3044DE2D" w14:textId="0A4F8327" w:rsidR="00C47F92" w:rsidRPr="00394CDD" w:rsidRDefault="00C47F92" w:rsidP="00C47F92">
      <w:pPr>
        <w:rPr>
          <w:rFonts w:asciiTheme="majorHAnsi" w:hAnsiTheme="majorHAnsi" w:cs="Arial"/>
        </w:rPr>
      </w:pPr>
      <w:r w:rsidRPr="00394CDD">
        <w:rPr>
          <w:rFonts w:asciiTheme="majorHAnsi" w:hAnsiTheme="majorHAnsi" w:cs="Arial"/>
        </w:rPr>
        <w:t xml:space="preserve">The recommendations of the paper </w:t>
      </w:r>
      <w:r w:rsidR="00600677">
        <w:rPr>
          <w:rFonts w:asciiTheme="majorHAnsi" w:hAnsiTheme="majorHAnsi" w:cs="Arial"/>
        </w:rPr>
        <w:t xml:space="preserve">to address these issues </w:t>
      </w:r>
      <w:r w:rsidRPr="00394CDD">
        <w:rPr>
          <w:rFonts w:asciiTheme="majorHAnsi" w:hAnsiTheme="majorHAnsi" w:cs="Arial"/>
        </w:rPr>
        <w:t>are:</w:t>
      </w:r>
    </w:p>
    <w:p w14:paraId="5D0C31BF" w14:textId="059C67BD" w:rsidR="00C47F92" w:rsidRDefault="00517E25" w:rsidP="00C47F92">
      <w:pPr>
        <w:pStyle w:val="ListParagraph"/>
        <w:numPr>
          <w:ilvl w:val="0"/>
          <w:numId w:val="30"/>
        </w:numPr>
        <w:rPr>
          <w:rFonts w:asciiTheme="majorHAnsi" w:hAnsiTheme="majorHAnsi" w:cs="Arial"/>
        </w:rPr>
      </w:pPr>
      <w:r>
        <w:rPr>
          <w:rFonts w:asciiTheme="majorHAnsi" w:hAnsiTheme="majorHAnsi" w:cs="Arial"/>
        </w:rPr>
        <w:t>That the Minister and his D</w:t>
      </w:r>
      <w:r w:rsidR="00C47F92" w:rsidRPr="00394CDD">
        <w:rPr>
          <w:rFonts w:asciiTheme="majorHAnsi" w:hAnsiTheme="majorHAnsi" w:cs="Arial"/>
        </w:rPr>
        <w:t>epartment, in consultation with the WRC:</w:t>
      </w:r>
    </w:p>
    <w:p w14:paraId="27672591" w14:textId="77777777" w:rsidR="00600677" w:rsidRPr="00394CDD" w:rsidRDefault="00600677" w:rsidP="00600677">
      <w:pPr>
        <w:pStyle w:val="ListParagraph"/>
        <w:rPr>
          <w:rFonts w:asciiTheme="majorHAnsi" w:hAnsiTheme="majorHAnsi" w:cs="Arial"/>
        </w:rPr>
      </w:pPr>
    </w:p>
    <w:p w14:paraId="37DD5E94" w14:textId="77777777" w:rsidR="00C47F92" w:rsidRPr="00394CDD" w:rsidRDefault="00C47F92" w:rsidP="00C47F92">
      <w:pPr>
        <w:pStyle w:val="ListParagraph"/>
        <w:numPr>
          <w:ilvl w:val="1"/>
          <w:numId w:val="30"/>
        </w:numPr>
        <w:rPr>
          <w:rFonts w:asciiTheme="majorHAnsi" w:hAnsiTheme="majorHAnsi" w:cs="Arial"/>
        </w:rPr>
      </w:pPr>
      <w:r w:rsidRPr="00394CDD">
        <w:rPr>
          <w:rFonts w:asciiTheme="majorHAnsi" w:hAnsiTheme="majorHAnsi" w:cs="Arial"/>
        </w:rPr>
        <w:t>Conduct a review of how cases are identified for investigation as potential major debts, as opposed to local office review of member of a couple assessments</w:t>
      </w:r>
    </w:p>
    <w:p w14:paraId="3FFC8AD0" w14:textId="77777777" w:rsidR="0005733E" w:rsidRPr="00394CDD" w:rsidRDefault="0005733E" w:rsidP="0005733E">
      <w:pPr>
        <w:pStyle w:val="ListParagraph"/>
        <w:ind w:left="1440"/>
        <w:rPr>
          <w:rFonts w:asciiTheme="majorHAnsi" w:hAnsiTheme="majorHAnsi" w:cs="Arial"/>
        </w:rPr>
      </w:pPr>
    </w:p>
    <w:p w14:paraId="428226B6" w14:textId="438003E4" w:rsidR="00C47F92" w:rsidRPr="00394CDD" w:rsidRDefault="00C47F92" w:rsidP="00C47F92">
      <w:pPr>
        <w:pStyle w:val="ListParagraph"/>
        <w:numPr>
          <w:ilvl w:val="1"/>
          <w:numId w:val="30"/>
        </w:numPr>
        <w:rPr>
          <w:rFonts w:asciiTheme="majorHAnsi" w:hAnsiTheme="majorHAnsi" w:cs="Arial"/>
        </w:rPr>
      </w:pPr>
      <w:r w:rsidRPr="00394CDD">
        <w:rPr>
          <w:rFonts w:asciiTheme="majorHAnsi" w:hAnsiTheme="majorHAnsi" w:cs="Arial"/>
        </w:rPr>
        <w:t xml:space="preserve">Conduct a review into the costs of major investigations taking into account, among other things, </w:t>
      </w:r>
      <w:r w:rsidR="007A130F">
        <w:rPr>
          <w:rFonts w:asciiTheme="majorHAnsi" w:hAnsiTheme="majorHAnsi" w:cs="Arial"/>
        </w:rPr>
        <w:t>whether debts raised as a result are later found not to exist or not to be recoverable</w:t>
      </w:r>
    </w:p>
    <w:p w14:paraId="74998126" w14:textId="77777777" w:rsidR="0005733E" w:rsidRPr="00394CDD" w:rsidRDefault="0005733E" w:rsidP="0005733E">
      <w:pPr>
        <w:pStyle w:val="ListParagraph"/>
        <w:ind w:left="1440"/>
        <w:rPr>
          <w:rFonts w:asciiTheme="majorHAnsi" w:hAnsiTheme="majorHAnsi" w:cs="Arial"/>
        </w:rPr>
      </w:pPr>
    </w:p>
    <w:p w14:paraId="1613F0E2" w14:textId="212213F4" w:rsidR="00C47F92" w:rsidRPr="00394CDD" w:rsidRDefault="007A130F" w:rsidP="00C47F92">
      <w:pPr>
        <w:pStyle w:val="ListParagraph"/>
        <w:numPr>
          <w:ilvl w:val="1"/>
          <w:numId w:val="30"/>
        </w:numPr>
        <w:rPr>
          <w:rFonts w:asciiTheme="majorHAnsi" w:hAnsiTheme="majorHAnsi" w:cs="Arial"/>
        </w:rPr>
      </w:pPr>
      <w:r>
        <w:rPr>
          <w:rFonts w:asciiTheme="majorHAnsi" w:hAnsiTheme="majorHAnsi" w:cs="Arial"/>
        </w:rPr>
        <w:t>Conduct a review into the issues around</w:t>
      </w:r>
      <w:r w:rsidR="00C47F92" w:rsidRPr="00394CDD">
        <w:rPr>
          <w:rFonts w:asciiTheme="majorHAnsi" w:hAnsiTheme="majorHAnsi" w:cs="Arial"/>
        </w:rPr>
        <w:t xml:space="preserve"> keeping investigations concealed from the person being investigated</w:t>
      </w:r>
      <w:r>
        <w:rPr>
          <w:rFonts w:asciiTheme="majorHAnsi" w:hAnsiTheme="majorHAnsi" w:cs="Arial"/>
        </w:rPr>
        <w:t xml:space="preserve"> with the aim of developing guidelines for determining the appropriateness of this in particular cases</w:t>
      </w:r>
    </w:p>
    <w:p w14:paraId="650B1109" w14:textId="77777777" w:rsidR="0005733E" w:rsidRPr="00394CDD" w:rsidRDefault="0005733E" w:rsidP="0005733E">
      <w:pPr>
        <w:pStyle w:val="ListParagraph"/>
        <w:ind w:left="1440"/>
        <w:rPr>
          <w:rFonts w:asciiTheme="majorHAnsi" w:hAnsiTheme="majorHAnsi" w:cs="Arial"/>
        </w:rPr>
      </w:pPr>
    </w:p>
    <w:p w14:paraId="160CBCA3" w14:textId="77777777" w:rsidR="00C47F92" w:rsidRPr="00394CDD" w:rsidRDefault="00C47F92" w:rsidP="00C47F92">
      <w:pPr>
        <w:pStyle w:val="ListParagraph"/>
        <w:numPr>
          <w:ilvl w:val="1"/>
          <w:numId w:val="30"/>
        </w:numPr>
        <w:rPr>
          <w:rFonts w:asciiTheme="majorHAnsi" w:hAnsiTheme="majorHAnsi" w:cs="Arial"/>
        </w:rPr>
      </w:pPr>
      <w:r w:rsidRPr="00394CDD">
        <w:rPr>
          <w:rFonts w:asciiTheme="majorHAnsi" w:hAnsiTheme="majorHAnsi" w:cs="Arial"/>
        </w:rPr>
        <w:t>Develop guidelines for diverting some of those cases, as appropriate, for standard “member of a couple” reviews rather than major debts, particularly where a person has informed Centrelink of changes to living arrangements and/or there has been a failure for Centrelink:</w:t>
      </w:r>
    </w:p>
    <w:p w14:paraId="0AFE9E49" w14:textId="77777777" w:rsidR="0005733E" w:rsidRPr="00394CDD" w:rsidRDefault="0005733E" w:rsidP="0005733E">
      <w:pPr>
        <w:pStyle w:val="ListParagraph"/>
        <w:ind w:left="1440"/>
        <w:rPr>
          <w:rFonts w:asciiTheme="majorHAnsi" w:hAnsiTheme="majorHAnsi" w:cs="Arial"/>
        </w:rPr>
      </w:pPr>
    </w:p>
    <w:p w14:paraId="25CF0571" w14:textId="0D0A7781" w:rsidR="0005733E" w:rsidRPr="00394CDD" w:rsidRDefault="00C47F92" w:rsidP="0005733E">
      <w:pPr>
        <w:pStyle w:val="ListParagraph"/>
        <w:numPr>
          <w:ilvl w:val="2"/>
          <w:numId w:val="30"/>
        </w:numPr>
        <w:rPr>
          <w:rFonts w:asciiTheme="majorHAnsi" w:hAnsiTheme="majorHAnsi" w:cs="Arial"/>
        </w:rPr>
      </w:pPr>
      <w:r w:rsidRPr="00394CDD">
        <w:rPr>
          <w:rFonts w:asciiTheme="majorHAnsi" w:hAnsiTheme="majorHAnsi" w:cs="Arial"/>
        </w:rPr>
        <w:t>to make a timely decision in response</w:t>
      </w:r>
      <w:r w:rsidR="0005733E" w:rsidRPr="00394CDD">
        <w:rPr>
          <w:rFonts w:asciiTheme="majorHAnsi" w:hAnsiTheme="majorHAnsi" w:cs="Arial"/>
        </w:rPr>
        <w:t xml:space="preserve"> to that information</w:t>
      </w:r>
    </w:p>
    <w:p w14:paraId="7407814A" w14:textId="77777777" w:rsidR="00C47F92" w:rsidRPr="00394CDD" w:rsidRDefault="00C47F92" w:rsidP="00C47F92">
      <w:pPr>
        <w:pStyle w:val="ListParagraph"/>
        <w:numPr>
          <w:ilvl w:val="2"/>
          <w:numId w:val="30"/>
        </w:numPr>
        <w:rPr>
          <w:rFonts w:asciiTheme="majorHAnsi" w:hAnsiTheme="majorHAnsi" w:cs="Arial"/>
        </w:rPr>
      </w:pPr>
      <w:r w:rsidRPr="00394CDD">
        <w:rPr>
          <w:rFonts w:asciiTheme="majorHAnsi" w:hAnsiTheme="majorHAnsi" w:cs="Arial"/>
        </w:rPr>
        <w:t>to review their circumstances in response to the information provided</w:t>
      </w:r>
    </w:p>
    <w:p w14:paraId="05899AA7" w14:textId="77777777" w:rsidR="0005733E" w:rsidRPr="00394CDD" w:rsidRDefault="0005733E" w:rsidP="0005733E">
      <w:pPr>
        <w:pStyle w:val="ListParagraph"/>
        <w:ind w:left="2160"/>
        <w:rPr>
          <w:rFonts w:asciiTheme="majorHAnsi" w:hAnsiTheme="majorHAnsi" w:cs="Arial"/>
        </w:rPr>
      </w:pPr>
    </w:p>
    <w:p w14:paraId="5EF7F61C" w14:textId="77777777" w:rsidR="00C47F92" w:rsidRPr="00394CDD" w:rsidRDefault="00C47F92" w:rsidP="00C47F92">
      <w:pPr>
        <w:pStyle w:val="ListParagraph"/>
        <w:numPr>
          <w:ilvl w:val="0"/>
          <w:numId w:val="30"/>
        </w:numPr>
        <w:rPr>
          <w:rFonts w:asciiTheme="majorHAnsi" w:hAnsiTheme="majorHAnsi" w:cs="Arial"/>
        </w:rPr>
      </w:pPr>
      <w:r w:rsidRPr="00394CDD">
        <w:rPr>
          <w:rFonts w:asciiTheme="majorHAnsi" w:hAnsiTheme="majorHAnsi" w:cs="Arial"/>
        </w:rPr>
        <w:t>Development of a relationship between investigation teams and the Welfare Rights Centre, including:</w:t>
      </w:r>
    </w:p>
    <w:p w14:paraId="3E52B229" w14:textId="77777777" w:rsidR="0005733E" w:rsidRPr="00394CDD" w:rsidRDefault="0005733E" w:rsidP="0005733E">
      <w:pPr>
        <w:pStyle w:val="ListParagraph"/>
        <w:rPr>
          <w:rFonts w:asciiTheme="majorHAnsi" w:hAnsiTheme="majorHAnsi" w:cs="Arial"/>
        </w:rPr>
      </w:pPr>
    </w:p>
    <w:p w14:paraId="69A9753F" w14:textId="77777777" w:rsidR="00C47F92" w:rsidRPr="00394CDD" w:rsidRDefault="00C47F92" w:rsidP="00C47F92">
      <w:pPr>
        <w:pStyle w:val="ListParagraph"/>
        <w:numPr>
          <w:ilvl w:val="1"/>
          <w:numId w:val="30"/>
        </w:numPr>
        <w:rPr>
          <w:rFonts w:asciiTheme="majorHAnsi" w:hAnsiTheme="majorHAnsi" w:cs="Arial"/>
        </w:rPr>
      </w:pPr>
      <w:r w:rsidRPr="00394CDD">
        <w:rPr>
          <w:rFonts w:asciiTheme="majorHAnsi" w:hAnsiTheme="majorHAnsi" w:cs="Arial"/>
        </w:rPr>
        <w:t>Training by our Centre based on our unique perspective in assisting clients to appeal member of a couple decisions, preferably co-ordinated with the Centrelink Multicultural Services Unit; and</w:t>
      </w:r>
    </w:p>
    <w:p w14:paraId="69B776BA" w14:textId="77777777" w:rsidR="0005733E" w:rsidRPr="00394CDD" w:rsidRDefault="0005733E" w:rsidP="0005733E">
      <w:pPr>
        <w:pStyle w:val="ListParagraph"/>
        <w:ind w:left="1440"/>
        <w:rPr>
          <w:rFonts w:asciiTheme="majorHAnsi" w:hAnsiTheme="majorHAnsi" w:cs="Arial"/>
        </w:rPr>
      </w:pPr>
    </w:p>
    <w:p w14:paraId="2503F35D" w14:textId="77777777" w:rsidR="00C47F92" w:rsidRPr="00394CDD" w:rsidRDefault="00C47F92" w:rsidP="00C47F92">
      <w:pPr>
        <w:pStyle w:val="ListParagraph"/>
        <w:numPr>
          <w:ilvl w:val="1"/>
          <w:numId w:val="30"/>
        </w:numPr>
        <w:rPr>
          <w:rFonts w:asciiTheme="majorHAnsi" w:hAnsiTheme="majorHAnsi" w:cs="Arial"/>
        </w:rPr>
      </w:pPr>
      <w:r w:rsidRPr="00394CDD">
        <w:rPr>
          <w:rFonts w:asciiTheme="majorHAnsi" w:hAnsiTheme="majorHAnsi" w:cs="Arial"/>
        </w:rPr>
        <w:t xml:space="preserve">Development of a referral protocol, where member of a couple debts of a certain size are automatically referred by the investigation team to the Welfare </w:t>
      </w:r>
      <w:r w:rsidRPr="00394CDD">
        <w:rPr>
          <w:rFonts w:asciiTheme="majorHAnsi" w:hAnsiTheme="majorHAnsi" w:cs="Arial"/>
        </w:rPr>
        <w:lastRenderedPageBreak/>
        <w:t>Rights Centre, with streamlined processes for reconsideration where our Centre considers there is persuasive evidence that the person is not a member of a couple</w:t>
      </w:r>
    </w:p>
    <w:p w14:paraId="1193AF44" w14:textId="77777777" w:rsidR="0005733E" w:rsidRPr="00394CDD" w:rsidRDefault="0005733E" w:rsidP="0005733E">
      <w:pPr>
        <w:pStyle w:val="ListParagraph"/>
        <w:ind w:left="1440"/>
        <w:rPr>
          <w:rFonts w:asciiTheme="majorHAnsi" w:hAnsiTheme="majorHAnsi" w:cs="Arial"/>
        </w:rPr>
      </w:pPr>
    </w:p>
    <w:p w14:paraId="239C0BD5" w14:textId="2326A48A" w:rsidR="00C47F92" w:rsidRPr="00394CDD" w:rsidRDefault="00C47F92" w:rsidP="00C47F92">
      <w:pPr>
        <w:pStyle w:val="ListParagraph"/>
        <w:numPr>
          <w:ilvl w:val="0"/>
          <w:numId w:val="30"/>
        </w:numPr>
        <w:rPr>
          <w:rFonts w:asciiTheme="majorHAnsi" w:hAnsiTheme="majorHAnsi" w:cs="Arial"/>
        </w:rPr>
      </w:pPr>
      <w:r w:rsidRPr="00394CDD">
        <w:rPr>
          <w:rFonts w:asciiTheme="majorHAnsi" w:hAnsiTheme="majorHAnsi" w:cs="Arial"/>
        </w:rPr>
        <w:t xml:space="preserve">Review decision-making processes to ensure that there is adequate guidance for decision makers on how to weigh </w:t>
      </w:r>
      <w:r w:rsidR="007A130F">
        <w:rPr>
          <w:rFonts w:asciiTheme="majorHAnsi" w:hAnsiTheme="majorHAnsi" w:cs="Arial"/>
        </w:rPr>
        <w:t xml:space="preserve">mandatory factors under </w:t>
      </w:r>
      <w:r w:rsidRPr="00394CDD">
        <w:rPr>
          <w:rFonts w:asciiTheme="majorHAnsi" w:hAnsiTheme="majorHAnsi" w:cs="Arial"/>
        </w:rPr>
        <w:t>s 4(3)</w:t>
      </w:r>
      <w:r w:rsidR="007A130F">
        <w:rPr>
          <w:rFonts w:asciiTheme="majorHAnsi" w:hAnsiTheme="majorHAnsi" w:cs="Arial"/>
        </w:rPr>
        <w:t xml:space="preserve"> of the </w:t>
      </w:r>
      <w:r w:rsidR="007A130F">
        <w:rPr>
          <w:rFonts w:asciiTheme="majorHAnsi" w:hAnsiTheme="majorHAnsi" w:cs="Arial"/>
          <w:i/>
        </w:rPr>
        <w:t>Social Security Act</w:t>
      </w:r>
      <w:r w:rsidRPr="00394CDD">
        <w:rPr>
          <w:rFonts w:asciiTheme="majorHAnsi" w:hAnsiTheme="majorHAnsi" w:cs="Arial"/>
        </w:rPr>
        <w:t xml:space="preserve"> with particular focus on: </w:t>
      </w:r>
    </w:p>
    <w:p w14:paraId="13146C84" w14:textId="77777777" w:rsidR="0005733E" w:rsidRPr="00394CDD" w:rsidRDefault="0005733E" w:rsidP="0005733E">
      <w:pPr>
        <w:pStyle w:val="ListParagraph"/>
        <w:rPr>
          <w:rFonts w:asciiTheme="majorHAnsi" w:hAnsiTheme="majorHAnsi" w:cs="Arial"/>
        </w:rPr>
      </w:pPr>
    </w:p>
    <w:p w14:paraId="347EA413" w14:textId="77777777" w:rsidR="00C47F92" w:rsidRPr="00394CDD" w:rsidRDefault="00C47F92" w:rsidP="00600677">
      <w:pPr>
        <w:pStyle w:val="ListParagraph"/>
        <w:numPr>
          <w:ilvl w:val="1"/>
          <w:numId w:val="30"/>
        </w:numPr>
        <w:spacing w:after="120"/>
        <w:ind w:left="1434" w:hanging="357"/>
        <w:rPr>
          <w:rFonts w:asciiTheme="majorHAnsi" w:hAnsiTheme="majorHAnsi" w:cs="Arial"/>
        </w:rPr>
      </w:pPr>
      <w:r w:rsidRPr="00394CDD">
        <w:rPr>
          <w:rFonts w:asciiTheme="majorHAnsi" w:hAnsiTheme="majorHAnsi" w:cs="Arial"/>
        </w:rPr>
        <w:t>the interaction between cultural considerations and section 4(3) factors</w:t>
      </w:r>
    </w:p>
    <w:p w14:paraId="7969417E" w14:textId="77777777" w:rsidR="00C47F92" w:rsidRPr="00394CDD" w:rsidRDefault="00C47F92" w:rsidP="00600677">
      <w:pPr>
        <w:pStyle w:val="ListParagraph"/>
        <w:numPr>
          <w:ilvl w:val="1"/>
          <w:numId w:val="30"/>
        </w:numPr>
        <w:spacing w:after="120"/>
        <w:ind w:left="1434" w:hanging="357"/>
        <w:rPr>
          <w:rFonts w:asciiTheme="majorHAnsi" w:hAnsiTheme="majorHAnsi" w:cs="Arial"/>
        </w:rPr>
      </w:pPr>
      <w:r w:rsidRPr="00394CDD">
        <w:rPr>
          <w:rFonts w:asciiTheme="majorHAnsi" w:hAnsiTheme="majorHAnsi" w:cs="Arial"/>
        </w:rPr>
        <w:t>having proper regard to and weighing all relevant factors</w:t>
      </w:r>
    </w:p>
    <w:p w14:paraId="560281BF" w14:textId="7E05DF37" w:rsidR="00C47F92" w:rsidRPr="00394CDD" w:rsidRDefault="00C47F92" w:rsidP="00600677">
      <w:pPr>
        <w:pStyle w:val="ListParagraph"/>
        <w:numPr>
          <w:ilvl w:val="1"/>
          <w:numId w:val="30"/>
        </w:numPr>
        <w:spacing w:after="120"/>
        <w:ind w:left="1434" w:hanging="357"/>
        <w:rPr>
          <w:rFonts w:asciiTheme="majorHAnsi" w:hAnsiTheme="majorHAnsi" w:cs="Arial"/>
        </w:rPr>
      </w:pPr>
      <w:r w:rsidRPr="00394CDD">
        <w:rPr>
          <w:rFonts w:asciiTheme="majorHAnsi" w:hAnsiTheme="majorHAnsi" w:cs="Arial"/>
        </w:rPr>
        <w:t xml:space="preserve">caution against </w:t>
      </w:r>
      <w:r w:rsidR="00467BA8">
        <w:rPr>
          <w:rFonts w:asciiTheme="majorHAnsi" w:hAnsiTheme="majorHAnsi" w:cs="Arial"/>
        </w:rPr>
        <w:t>over-reliance</w:t>
      </w:r>
      <w:r w:rsidRPr="00394CDD">
        <w:rPr>
          <w:rFonts w:asciiTheme="majorHAnsi" w:hAnsiTheme="majorHAnsi" w:cs="Arial"/>
        </w:rPr>
        <w:t xml:space="preserve"> on documentary evidence and overweighting of financial considerations</w:t>
      </w:r>
    </w:p>
    <w:p w14:paraId="393869B5" w14:textId="29DB121C" w:rsidR="00C47F92" w:rsidRPr="00394CDD" w:rsidRDefault="00C47F92" w:rsidP="00600677">
      <w:pPr>
        <w:pStyle w:val="ListParagraph"/>
        <w:numPr>
          <w:ilvl w:val="1"/>
          <w:numId w:val="30"/>
        </w:numPr>
        <w:spacing w:after="120"/>
        <w:ind w:left="1434" w:hanging="357"/>
        <w:rPr>
          <w:rFonts w:asciiTheme="majorHAnsi" w:hAnsiTheme="majorHAnsi" w:cs="Arial"/>
        </w:rPr>
      </w:pPr>
      <w:r w:rsidRPr="00394CDD">
        <w:rPr>
          <w:rFonts w:asciiTheme="majorHAnsi" w:hAnsiTheme="majorHAnsi" w:cs="Arial"/>
        </w:rPr>
        <w:t xml:space="preserve">caution against </w:t>
      </w:r>
      <w:r w:rsidR="00467BA8">
        <w:rPr>
          <w:rFonts w:asciiTheme="majorHAnsi" w:hAnsiTheme="majorHAnsi" w:cs="Arial"/>
        </w:rPr>
        <w:t>over-weighting</w:t>
      </w:r>
      <w:r w:rsidRPr="00394CDD">
        <w:rPr>
          <w:rFonts w:asciiTheme="majorHAnsi" w:hAnsiTheme="majorHAnsi" w:cs="Arial"/>
        </w:rPr>
        <w:t xml:space="preserve"> of factors beyond a person’s control</w:t>
      </w:r>
    </w:p>
    <w:p w14:paraId="499AF814" w14:textId="1C82F5E9" w:rsidR="00446C35" w:rsidRPr="00394CDD" w:rsidRDefault="00A542F4" w:rsidP="00446C35">
      <w:pPr>
        <w:pStyle w:val="AARenouf-Body1"/>
        <w:rPr>
          <w:rFonts w:cs="Arial"/>
        </w:rPr>
      </w:pPr>
      <w:r w:rsidRPr="00394CDD">
        <w:rPr>
          <w:rFonts w:cs="Arial"/>
        </w:rPr>
        <w:t>These recommendations respond to specific</w:t>
      </w:r>
      <w:r w:rsidR="007A130F">
        <w:rPr>
          <w:rFonts w:cs="Arial"/>
        </w:rPr>
        <w:t xml:space="preserve"> and recurring</w:t>
      </w:r>
      <w:r w:rsidRPr="00394CDD">
        <w:rPr>
          <w:rFonts w:cs="Arial"/>
        </w:rPr>
        <w:t xml:space="preserve"> </w:t>
      </w:r>
      <w:r w:rsidR="00143564" w:rsidRPr="00394CDD">
        <w:rPr>
          <w:rFonts w:cs="Arial"/>
        </w:rPr>
        <w:t>issues</w:t>
      </w:r>
      <w:r w:rsidRPr="00394CDD">
        <w:rPr>
          <w:rFonts w:cs="Arial"/>
        </w:rPr>
        <w:t xml:space="preserve"> that Welfare Rights has observed in its casework practice. These specific issues are described and analysed in more detail </w:t>
      </w:r>
      <w:r w:rsidR="00394CDD">
        <w:rPr>
          <w:rFonts w:cs="Arial"/>
        </w:rPr>
        <w:t xml:space="preserve">in section 3 </w:t>
      </w:r>
      <w:r w:rsidR="00143564" w:rsidRPr="00394CDD">
        <w:rPr>
          <w:rFonts w:cs="Arial"/>
        </w:rPr>
        <w:t>below</w:t>
      </w:r>
      <w:r w:rsidR="00454D03" w:rsidRPr="00394CDD">
        <w:rPr>
          <w:rFonts w:cs="Arial"/>
        </w:rPr>
        <w:t>.</w:t>
      </w:r>
    </w:p>
    <w:p w14:paraId="0B4F8844" w14:textId="17EFF773" w:rsidR="00B2494F" w:rsidRDefault="00B2494F" w:rsidP="00AD4656">
      <w:pPr>
        <w:pStyle w:val="Heading1"/>
        <w:rPr>
          <w:lang w:eastAsia="en-AU"/>
        </w:rPr>
      </w:pPr>
      <w:bookmarkStart w:id="3" w:name="_Toc208992013"/>
      <w:r>
        <w:rPr>
          <w:lang w:eastAsia="en-AU"/>
        </w:rPr>
        <w:t>Problems with Centrelink decision-making</w:t>
      </w:r>
      <w:bookmarkEnd w:id="3"/>
      <w:r>
        <w:rPr>
          <w:lang w:eastAsia="en-AU"/>
        </w:rPr>
        <w:t xml:space="preserve"> </w:t>
      </w:r>
    </w:p>
    <w:p w14:paraId="4D8799E8" w14:textId="504A0485" w:rsidR="0020265A" w:rsidRDefault="00394CDD" w:rsidP="0020265A">
      <w:pPr>
        <w:pStyle w:val="Heading2"/>
        <w:rPr>
          <w:lang w:eastAsia="en-AU"/>
        </w:rPr>
      </w:pPr>
      <w:bookmarkStart w:id="4" w:name="_Toc208992014"/>
      <w:r>
        <w:rPr>
          <w:lang w:eastAsia="en-AU"/>
        </w:rPr>
        <w:t>Many</w:t>
      </w:r>
      <w:r w:rsidR="0020265A">
        <w:rPr>
          <w:lang w:eastAsia="en-AU"/>
        </w:rPr>
        <w:t xml:space="preserve"> decisions overturned on appeal</w:t>
      </w:r>
      <w:bookmarkEnd w:id="4"/>
    </w:p>
    <w:p w14:paraId="695E2F26" w14:textId="0A226A27" w:rsidR="00B2494F" w:rsidRDefault="00B2494F" w:rsidP="00E33408">
      <w:pPr>
        <w:pStyle w:val="AARenouf-Body1"/>
        <w:rPr>
          <w:lang w:eastAsia="en-AU"/>
        </w:rPr>
      </w:pPr>
      <w:r>
        <w:rPr>
          <w:lang w:eastAsia="en-AU"/>
        </w:rPr>
        <w:t>Correct decision-making about a person’s relationship status is critical to the proper administration of the social security and family assistance payment system</w:t>
      </w:r>
      <w:r w:rsidR="007F4E88">
        <w:rPr>
          <w:lang w:eastAsia="en-AU"/>
        </w:rPr>
        <w:t xml:space="preserve"> as it </w:t>
      </w:r>
      <w:r>
        <w:rPr>
          <w:lang w:eastAsia="en-AU"/>
        </w:rPr>
        <w:t>determi</w:t>
      </w:r>
      <w:r w:rsidR="007F4E88">
        <w:rPr>
          <w:lang w:eastAsia="en-AU"/>
        </w:rPr>
        <w:t>nes</w:t>
      </w:r>
      <w:r>
        <w:rPr>
          <w:lang w:eastAsia="en-AU"/>
        </w:rPr>
        <w:t xml:space="preserve"> a person’s rate </w:t>
      </w:r>
      <w:r w:rsidR="00A20A0F">
        <w:rPr>
          <w:lang w:eastAsia="en-AU"/>
        </w:rPr>
        <w:t>and</w:t>
      </w:r>
      <w:r>
        <w:rPr>
          <w:lang w:eastAsia="en-AU"/>
        </w:rPr>
        <w:t xml:space="preserve"> qualification for certain payments.</w:t>
      </w:r>
    </w:p>
    <w:p w14:paraId="67EFB920" w14:textId="1BF0CFEE" w:rsidR="00BF7FC5" w:rsidRDefault="00A20A0F" w:rsidP="00BF7FC5">
      <w:pPr>
        <w:pStyle w:val="AARenouf-Body1"/>
        <w:rPr>
          <w:lang w:eastAsia="en-AU"/>
        </w:rPr>
      </w:pPr>
      <w:r>
        <w:rPr>
          <w:lang w:eastAsia="en-AU"/>
        </w:rPr>
        <w:t>Appeals statistics</w:t>
      </w:r>
      <w:r w:rsidR="00B2494F">
        <w:rPr>
          <w:lang w:eastAsia="en-AU"/>
        </w:rPr>
        <w:t xml:space="preserve"> </w:t>
      </w:r>
      <w:r>
        <w:rPr>
          <w:lang w:eastAsia="en-AU"/>
        </w:rPr>
        <w:t>reveal</w:t>
      </w:r>
      <w:r w:rsidR="00B2494F">
        <w:rPr>
          <w:lang w:eastAsia="en-AU"/>
        </w:rPr>
        <w:t xml:space="preserve"> a high error rate for member of a couple decisions.</w:t>
      </w:r>
      <w:r w:rsidR="00B2494F" w:rsidRPr="00D11918">
        <w:rPr>
          <w:lang w:eastAsia="en-AU"/>
        </w:rPr>
        <w:t xml:space="preserve"> </w:t>
      </w:r>
      <w:r w:rsidR="00B2494F">
        <w:rPr>
          <w:lang w:eastAsia="en-AU"/>
        </w:rPr>
        <w:t xml:space="preserve"> </w:t>
      </w:r>
      <w:r>
        <w:rPr>
          <w:lang w:eastAsia="en-AU"/>
        </w:rPr>
        <w:t xml:space="preserve">The SSAT sets aside or varies </w:t>
      </w:r>
      <w:r w:rsidR="00B2494F">
        <w:rPr>
          <w:lang w:eastAsia="en-AU"/>
        </w:rPr>
        <w:t>38% of these decisions</w:t>
      </w:r>
      <w:r>
        <w:rPr>
          <w:lang w:eastAsia="en-AU"/>
        </w:rPr>
        <w:t>.</w:t>
      </w:r>
      <w:r w:rsidR="00B2494F">
        <w:rPr>
          <w:lang w:eastAsia="en-AU"/>
        </w:rPr>
        <w:t xml:space="preserve"> </w:t>
      </w:r>
      <w:r>
        <w:rPr>
          <w:lang w:eastAsia="en-AU"/>
        </w:rPr>
        <w:t>T</w:t>
      </w:r>
      <w:r w:rsidR="00B2494F">
        <w:rPr>
          <w:lang w:eastAsia="en-AU"/>
        </w:rPr>
        <w:t>his is a substantially higher rate than the average percentage of Centrelink decisions changed by the tribunal.</w:t>
      </w:r>
      <w:r w:rsidR="00B2494F">
        <w:rPr>
          <w:rStyle w:val="FootnoteReference"/>
          <w:rFonts w:cstheme="minorHAnsi"/>
          <w:sz w:val="24"/>
          <w:szCs w:val="24"/>
          <w:lang w:eastAsia="en-AU"/>
        </w:rPr>
        <w:footnoteReference w:id="1"/>
      </w:r>
      <w:r w:rsidR="00B2494F">
        <w:rPr>
          <w:lang w:eastAsia="en-AU"/>
        </w:rPr>
        <w:t xml:space="preserve">   </w:t>
      </w:r>
    </w:p>
    <w:p w14:paraId="5CFF2A25" w14:textId="77777777" w:rsidR="00411A83" w:rsidRDefault="00411A83" w:rsidP="00BF7FC5">
      <w:pPr>
        <w:pStyle w:val="AARenouf-Body1"/>
        <w:rPr>
          <w:lang w:eastAsia="en-AU"/>
        </w:rPr>
      </w:pPr>
    </w:p>
    <w:p w14:paraId="4283017F" w14:textId="77777777" w:rsidR="00411A83" w:rsidRDefault="00411A83" w:rsidP="00BF7FC5">
      <w:pPr>
        <w:pStyle w:val="AARenouf-Body1"/>
        <w:rPr>
          <w:lang w:eastAsia="en-AU"/>
        </w:rPr>
      </w:pPr>
    </w:p>
    <w:p w14:paraId="36DD426C" w14:textId="77777777" w:rsidR="00411A83" w:rsidRDefault="00411A83" w:rsidP="00BF7FC5">
      <w:pPr>
        <w:pStyle w:val="AARenouf-Body1"/>
        <w:rPr>
          <w:lang w:eastAsia="en-AU"/>
        </w:rPr>
      </w:pPr>
    </w:p>
    <w:p w14:paraId="729DF73C" w14:textId="4401728F" w:rsidR="00BF7FC5" w:rsidRPr="00E075BD" w:rsidRDefault="00BF7FC5" w:rsidP="00BF7FC5">
      <w:pPr>
        <w:pStyle w:val="AARenoufCasestudy"/>
        <w:rPr>
          <w:b/>
          <w:lang w:eastAsia="en-AU"/>
        </w:rPr>
      </w:pPr>
      <w:r w:rsidRPr="00E075BD">
        <w:rPr>
          <w:b/>
          <w:lang w:eastAsia="en-AU"/>
        </w:rPr>
        <w:t>Case study – principal carer grandmother</w:t>
      </w:r>
    </w:p>
    <w:p w14:paraId="3122A73E" w14:textId="77777777" w:rsidR="00BF7FC5" w:rsidRDefault="00BF7FC5" w:rsidP="00BF7FC5">
      <w:pPr>
        <w:pStyle w:val="AARenoufCasestudy"/>
        <w:rPr>
          <w:lang w:eastAsia="en-AU"/>
        </w:rPr>
      </w:pPr>
      <w:r>
        <w:rPr>
          <w:lang w:eastAsia="en-AU"/>
        </w:rPr>
        <w:lastRenderedPageBreak/>
        <w:t>This year our Centre represented a client with a debt</w:t>
      </w:r>
      <w:r w:rsidRPr="000A0973">
        <w:rPr>
          <w:lang w:eastAsia="en-AU"/>
        </w:rPr>
        <w:t xml:space="preserve"> </w:t>
      </w:r>
      <w:r>
        <w:rPr>
          <w:lang w:eastAsia="en-AU"/>
        </w:rPr>
        <w:t xml:space="preserve">of well over $150,000 resulting from a Centrelink member of a couple decision at the SSAT.  Our client had care of her grandchildren after both her daughters died.  Her ex-partner returned to the home because he was unable to afford his share of the mortgage and rent elsewhere.  In the interests of raising the grandchildren, they chose to live separated under the one roof rather than force the sale of the home.  </w:t>
      </w:r>
    </w:p>
    <w:p w14:paraId="36496C54" w14:textId="33642E1D" w:rsidR="00BF7FC5" w:rsidRDefault="00BF7FC5" w:rsidP="00BF7FC5">
      <w:pPr>
        <w:pStyle w:val="AARenoufCasestudy"/>
        <w:rPr>
          <w:lang w:eastAsia="en-AU"/>
        </w:rPr>
      </w:pPr>
      <w:r>
        <w:rPr>
          <w:lang w:eastAsia="en-AU"/>
        </w:rPr>
        <w:t>Centrelink decided that our client was a member of a couple and backdated the decision by nearly a decade, resulting in a huge debt and the cancellation of her income support payments.  The SSAT found that the member of a couple decision was incorrect, her payments should not have been cancelled and there was no debt.One of the troubling features of this case was that our client’s Centrelink file showed clearly that she had told Centrelink almost 10 years earlier that her ex-partner had moved back into the home and explained the reasons why.  Centrelink did not review her “member of a couple” status then or for the next 10 years, until it decided to raise a huge debt, alleging she had concealed a relationship over that time.</w:t>
      </w:r>
    </w:p>
    <w:p w14:paraId="39CD95BA" w14:textId="79772FCF" w:rsidR="00BF7FC5" w:rsidRDefault="00BF7FC5" w:rsidP="00BF7FC5">
      <w:pPr>
        <w:pStyle w:val="AARenoufCasestudy"/>
        <w:rPr>
          <w:lang w:eastAsia="en-AU"/>
        </w:rPr>
      </w:pPr>
      <w:r>
        <w:rPr>
          <w:lang w:eastAsia="en-AU"/>
        </w:rPr>
        <w:t>Centrelink decisions in this case violated basic principl</w:t>
      </w:r>
      <w:r w:rsidR="00411A83">
        <w:rPr>
          <w:lang w:eastAsia="en-AU"/>
        </w:rPr>
        <w:t>es of procedural fairness.  The decisions</w:t>
      </w:r>
      <w:r>
        <w:rPr>
          <w:lang w:eastAsia="en-AU"/>
        </w:rPr>
        <w:t xml:space="preserve"> were proven to be incorrect, but only after our client experienced the emotional and psychological distress and financial hardship of having her income cut and repaying the debt and faced allegations of dishonesty and the risk of criminal prosecution.  It was extremely difficult to gather evidence concerning such a long period and it is likely our client could not have succeeded without representation.</w:t>
      </w:r>
    </w:p>
    <w:p w14:paraId="1EF5D7CA" w14:textId="00E2A32F" w:rsidR="00BF7FC5" w:rsidRDefault="00BF7FC5" w:rsidP="00E075BD">
      <w:pPr>
        <w:pStyle w:val="AARenouf-Body1"/>
        <w:rPr>
          <w:lang w:eastAsia="en-AU"/>
        </w:rPr>
      </w:pPr>
      <w:r>
        <w:rPr>
          <w:lang w:eastAsia="en-AU"/>
        </w:rPr>
        <w:t>As this example suggests, the most serious cases are those where Centrelink decides that a person is a member of a couple and then backdates that decision over many years.  This results in huge debts, often ranging from $100,000 to $200,000.  In effect, Centrelink alleges that the person has concealed a relationship in order to receive money to which they are not entitled.</w:t>
      </w:r>
    </w:p>
    <w:p w14:paraId="6C1B70B6" w14:textId="77777777" w:rsidR="009A0012" w:rsidRPr="00044FD4" w:rsidRDefault="009A0012" w:rsidP="0020265A">
      <w:pPr>
        <w:pStyle w:val="Heading2"/>
        <w:rPr>
          <w:lang w:eastAsia="en-AU"/>
        </w:rPr>
      </w:pPr>
      <w:bookmarkStart w:id="5" w:name="_Toc208992015"/>
      <w:r>
        <w:rPr>
          <w:lang w:eastAsia="en-AU"/>
        </w:rPr>
        <w:t>Failure to consider all of a person’s circumstances</w:t>
      </w:r>
      <w:bookmarkEnd w:id="5"/>
    </w:p>
    <w:p w14:paraId="2243289D" w14:textId="0065A326" w:rsidR="009A0012" w:rsidRDefault="009A0012" w:rsidP="009A0012">
      <w:pPr>
        <w:pStyle w:val="AARenouf-Body1"/>
        <w:rPr>
          <w:lang w:eastAsia="en-AU"/>
        </w:rPr>
      </w:pPr>
      <w:r>
        <w:rPr>
          <w:lang w:eastAsia="en-AU"/>
        </w:rPr>
        <w:t>It is a clearly established principle in this area of law that a decision-maker must consider the totality of a person’s circumstances, including circumstances that point both towards and against the existence of a member of couple relationship.</w:t>
      </w:r>
    </w:p>
    <w:p w14:paraId="47D4A8C1" w14:textId="0AA75DA5" w:rsidR="0020645C" w:rsidRDefault="009A0012" w:rsidP="009A0012">
      <w:pPr>
        <w:pStyle w:val="AARenouf-Body1"/>
        <w:rPr>
          <w:lang w:eastAsia="en-AU"/>
        </w:rPr>
      </w:pPr>
      <w:r>
        <w:rPr>
          <w:lang w:eastAsia="en-AU"/>
        </w:rPr>
        <w:t xml:space="preserve">Our Centre regularly sees </w:t>
      </w:r>
      <w:r w:rsidR="00517E25">
        <w:rPr>
          <w:lang w:eastAsia="en-AU"/>
        </w:rPr>
        <w:t xml:space="preserve">cases where Centrelink investigators </w:t>
      </w:r>
      <w:r>
        <w:rPr>
          <w:lang w:eastAsia="en-AU"/>
        </w:rPr>
        <w:t>concentrate only on circumstances pointing towards the existence of a relationship, without considering evidence before them pointing against it.</w:t>
      </w:r>
    </w:p>
    <w:p w14:paraId="2CBA5B28" w14:textId="10385DAB" w:rsidR="009A0012" w:rsidRDefault="00881DAA" w:rsidP="0020265A">
      <w:pPr>
        <w:pStyle w:val="Heading2"/>
        <w:rPr>
          <w:lang w:eastAsia="en-AU"/>
        </w:rPr>
      </w:pPr>
      <w:bookmarkStart w:id="6" w:name="_Toc208992016"/>
      <w:r>
        <w:rPr>
          <w:lang w:eastAsia="en-AU"/>
        </w:rPr>
        <w:lastRenderedPageBreak/>
        <w:t>Over-reliance on documentary evidence</w:t>
      </w:r>
      <w:bookmarkEnd w:id="6"/>
    </w:p>
    <w:p w14:paraId="40FB618F" w14:textId="217B0CBF" w:rsidR="0020645C" w:rsidRDefault="009A0012" w:rsidP="009A0012">
      <w:pPr>
        <w:pStyle w:val="AARenouf-Body1"/>
        <w:rPr>
          <w:lang w:eastAsia="en-AU"/>
        </w:rPr>
      </w:pPr>
      <w:r>
        <w:rPr>
          <w:lang w:eastAsia="en-AU"/>
        </w:rPr>
        <w:t xml:space="preserve">Centrelink investigators rely heavily on documentary evidence, which is the easiest evidence to gather, such as bank statements.  But documentary evidence is often misleading when there is no investigation into the reasons behind the arrangements.  </w:t>
      </w:r>
    </w:p>
    <w:p w14:paraId="55393C8C" w14:textId="0E780B4D" w:rsidR="009A0012" w:rsidRDefault="0020645C" w:rsidP="009A0012">
      <w:pPr>
        <w:pStyle w:val="AARenouf-Body1"/>
        <w:rPr>
          <w:lang w:eastAsia="en-AU"/>
        </w:rPr>
      </w:pPr>
      <w:r w:rsidRPr="00E95A40">
        <w:rPr>
          <w:lang w:eastAsia="en-AU"/>
        </w:rPr>
        <w:t>Documentary evidence is usually relevant to the financial arran</w:t>
      </w:r>
      <w:r w:rsidR="00411A83">
        <w:rPr>
          <w:lang w:eastAsia="en-AU"/>
        </w:rPr>
        <w:t xml:space="preserve">gements and address history (for example, </w:t>
      </w:r>
      <w:r w:rsidRPr="00E95A40">
        <w:rPr>
          <w:lang w:eastAsia="en-AU"/>
        </w:rPr>
        <w:t xml:space="preserve"> bank accounts and RTA records).  </w:t>
      </w:r>
      <w:r w:rsidR="00467BA8">
        <w:rPr>
          <w:lang w:eastAsia="en-AU"/>
        </w:rPr>
        <w:t>Over-reliance</w:t>
      </w:r>
      <w:r>
        <w:rPr>
          <w:lang w:eastAsia="en-AU"/>
        </w:rPr>
        <w:t xml:space="preserve"> on documentary evidence often results in over emphasis on financial arrangements. </w:t>
      </w:r>
      <w:r w:rsidRPr="00E95A40">
        <w:rPr>
          <w:lang w:eastAsia="en-AU"/>
        </w:rPr>
        <w:t>Financial arrangement</w:t>
      </w:r>
      <w:r>
        <w:rPr>
          <w:lang w:eastAsia="en-AU"/>
        </w:rPr>
        <w:t>s</w:t>
      </w:r>
      <w:r w:rsidRPr="00E95A40">
        <w:rPr>
          <w:lang w:eastAsia="en-AU"/>
        </w:rPr>
        <w:t xml:space="preserve"> are only one of five factors</w:t>
      </w:r>
      <w:r w:rsidR="007A130F">
        <w:rPr>
          <w:lang w:eastAsia="en-AU"/>
        </w:rPr>
        <w:t xml:space="preserve"> which social security law requires</w:t>
      </w:r>
      <w:r w:rsidRPr="00E95A40">
        <w:rPr>
          <w:lang w:eastAsia="en-AU"/>
        </w:rPr>
        <w:t xml:space="preserve"> Centrelink</w:t>
      </w:r>
      <w:r w:rsidR="007A130F">
        <w:rPr>
          <w:lang w:eastAsia="en-AU"/>
        </w:rPr>
        <w:t xml:space="preserve"> to consider</w:t>
      </w:r>
      <w:r w:rsidRPr="00E95A40">
        <w:rPr>
          <w:lang w:eastAsia="en-AU"/>
        </w:rPr>
        <w:t xml:space="preserve">. Centrelink must also consider the nature of the household, social aspects of the relationship, sexual relationship and nature of their commitment to each other. </w:t>
      </w:r>
    </w:p>
    <w:p w14:paraId="6E767655" w14:textId="08A4BFF3" w:rsidR="00621600" w:rsidRDefault="00621600" w:rsidP="00974496">
      <w:pPr>
        <w:pStyle w:val="Heading2"/>
        <w:rPr>
          <w:lang w:eastAsia="en-AU"/>
        </w:rPr>
      </w:pPr>
      <w:bookmarkStart w:id="7" w:name="_Toc208992017"/>
      <w:r>
        <w:rPr>
          <w:lang w:eastAsia="en-AU"/>
        </w:rPr>
        <w:t>Clandestine nature of investigations</w:t>
      </w:r>
      <w:bookmarkEnd w:id="7"/>
    </w:p>
    <w:p w14:paraId="4183FDCF" w14:textId="36600A8F" w:rsidR="00621600" w:rsidRDefault="00467BA8" w:rsidP="009A0012">
      <w:pPr>
        <w:pStyle w:val="AARenouf-Body1"/>
        <w:rPr>
          <w:lang w:eastAsia="en-AU"/>
        </w:rPr>
      </w:pPr>
      <w:r>
        <w:rPr>
          <w:lang w:eastAsia="en-AU"/>
        </w:rPr>
        <w:t>Over-reliance</w:t>
      </w:r>
      <w:r w:rsidR="00621600">
        <w:rPr>
          <w:lang w:eastAsia="en-AU"/>
        </w:rPr>
        <w:t xml:space="preserve"> on documentary evidence </w:t>
      </w:r>
      <w:r w:rsidR="009A0012" w:rsidRPr="00E95A40">
        <w:rPr>
          <w:lang w:eastAsia="en-AU"/>
        </w:rPr>
        <w:t xml:space="preserve">is compounded by the fact that these investigations are often hidden from the person until the end of the investigation. </w:t>
      </w:r>
      <w:r w:rsidR="00621600">
        <w:rPr>
          <w:lang w:eastAsia="en-AU"/>
        </w:rPr>
        <w:t xml:space="preserve"> The person is not given the opportunity to explain the financial arrangements</w:t>
      </w:r>
      <w:r w:rsidR="007A130F">
        <w:rPr>
          <w:lang w:eastAsia="en-AU"/>
        </w:rPr>
        <w:t xml:space="preserve"> or address history</w:t>
      </w:r>
      <w:r w:rsidR="00621600">
        <w:rPr>
          <w:lang w:eastAsia="en-AU"/>
        </w:rPr>
        <w:t xml:space="preserve"> until the end of the investigation. </w:t>
      </w:r>
      <w:r w:rsidR="009A0012" w:rsidRPr="00E95A40">
        <w:rPr>
          <w:lang w:eastAsia="en-AU"/>
        </w:rPr>
        <w:t>The allegations are often not put to the person until the point at which a huge debt has been, or is about to be, raised. At that point</w:t>
      </w:r>
      <w:r w:rsidR="00621600">
        <w:rPr>
          <w:lang w:eastAsia="en-AU"/>
        </w:rPr>
        <w:t xml:space="preserve"> </w:t>
      </w:r>
      <w:r w:rsidR="009A0012" w:rsidRPr="00E95A40">
        <w:rPr>
          <w:lang w:eastAsia="en-AU"/>
        </w:rPr>
        <w:t>the person i</w:t>
      </w:r>
      <w:r w:rsidR="009A0012">
        <w:rPr>
          <w:lang w:eastAsia="en-AU"/>
        </w:rPr>
        <w:t>s often</w:t>
      </w:r>
      <w:r w:rsidR="00621600">
        <w:rPr>
          <w:lang w:eastAsia="en-AU"/>
        </w:rPr>
        <w:t>:</w:t>
      </w:r>
      <w:r w:rsidR="009A0012">
        <w:rPr>
          <w:lang w:eastAsia="en-AU"/>
        </w:rPr>
        <w:t xml:space="preserve"> </w:t>
      </w:r>
    </w:p>
    <w:p w14:paraId="7CCB39B3" w14:textId="01EC1B60" w:rsidR="00621600" w:rsidRDefault="009A0012" w:rsidP="00E075BD">
      <w:pPr>
        <w:pStyle w:val="AARenouf-Body1"/>
        <w:numPr>
          <w:ilvl w:val="0"/>
          <w:numId w:val="24"/>
        </w:numPr>
        <w:rPr>
          <w:lang w:eastAsia="en-AU"/>
        </w:rPr>
      </w:pPr>
      <w:r>
        <w:rPr>
          <w:lang w:eastAsia="en-AU"/>
        </w:rPr>
        <w:t xml:space="preserve">too frightened (having </w:t>
      </w:r>
      <w:r w:rsidRPr="00E95A40">
        <w:rPr>
          <w:lang w:eastAsia="en-AU"/>
        </w:rPr>
        <w:t xml:space="preserve">been told of the </w:t>
      </w:r>
      <w:r w:rsidR="00621600">
        <w:rPr>
          <w:lang w:eastAsia="en-AU"/>
        </w:rPr>
        <w:t>possibility</w:t>
      </w:r>
      <w:r w:rsidR="00621600" w:rsidRPr="00E95A40">
        <w:rPr>
          <w:lang w:eastAsia="en-AU"/>
        </w:rPr>
        <w:t xml:space="preserve"> </w:t>
      </w:r>
      <w:r w:rsidRPr="00E95A40">
        <w:rPr>
          <w:lang w:eastAsia="en-AU"/>
        </w:rPr>
        <w:t xml:space="preserve">of prosecution) </w:t>
      </w:r>
      <w:r w:rsidR="00411A83">
        <w:rPr>
          <w:lang w:eastAsia="en-AU"/>
        </w:rPr>
        <w:t xml:space="preserve">to tell their side of the story; </w:t>
      </w:r>
      <w:r w:rsidRPr="00E95A40">
        <w:rPr>
          <w:lang w:eastAsia="en-AU"/>
        </w:rPr>
        <w:t xml:space="preserve"> or </w:t>
      </w:r>
    </w:p>
    <w:p w14:paraId="14E0F995" w14:textId="59E2E32D" w:rsidR="00215E51" w:rsidRDefault="009A0012" w:rsidP="00E075BD">
      <w:pPr>
        <w:pStyle w:val="AARenouf-Body1"/>
        <w:numPr>
          <w:ilvl w:val="0"/>
          <w:numId w:val="24"/>
        </w:numPr>
        <w:rPr>
          <w:lang w:eastAsia="en-AU"/>
        </w:rPr>
      </w:pPr>
      <w:r w:rsidRPr="00E95A40">
        <w:rPr>
          <w:lang w:eastAsia="en-AU"/>
        </w:rPr>
        <w:t>perceives that it is hopeless to try to persuade the investigator otherwise</w:t>
      </w:r>
      <w:r w:rsidR="00411A83">
        <w:rPr>
          <w:lang w:eastAsia="en-AU"/>
        </w:rPr>
        <w:t>; or</w:t>
      </w:r>
    </w:p>
    <w:p w14:paraId="29062063" w14:textId="63A43DAC" w:rsidR="009A0012" w:rsidRDefault="00215E51" w:rsidP="00E075BD">
      <w:pPr>
        <w:pStyle w:val="AARenouf-Body1"/>
        <w:numPr>
          <w:ilvl w:val="0"/>
          <w:numId w:val="24"/>
        </w:numPr>
        <w:rPr>
          <w:lang w:eastAsia="en-AU"/>
        </w:rPr>
      </w:pPr>
      <w:r>
        <w:rPr>
          <w:lang w:eastAsia="en-AU"/>
        </w:rPr>
        <w:t xml:space="preserve">is unable to </w:t>
      </w:r>
      <w:r w:rsidR="009A0012" w:rsidRPr="00E95A40">
        <w:rPr>
          <w:lang w:eastAsia="en-AU"/>
        </w:rPr>
        <w:t>collect the evidence needed to counter the documentary evidence and disprove the allegation</w:t>
      </w:r>
    </w:p>
    <w:p w14:paraId="1C105860" w14:textId="3A44ACE7" w:rsidR="005E3226" w:rsidRPr="003A7E5C" w:rsidRDefault="005E3226" w:rsidP="003A7E5C">
      <w:pPr>
        <w:pStyle w:val="AARenoufCasestudy"/>
        <w:rPr>
          <w:b/>
          <w:lang w:eastAsia="en-AU"/>
        </w:rPr>
      </w:pPr>
      <w:r w:rsidRPr="003A7E5C">
        <w:rPr>
          <w:b/>
          <w:lang w:eastAsia="en-AU"/>
        </w:rPr>
        <w:t xml:space="preserve">Example: </w:t>
      </w:r>
    </w:p>
    <w:p w14:paraId="4FF0E3B5" w14:textId="0F465895" w:rsidR="0085557E" w:rsidRDefault="005E3226" w:rsidP="003A7E5C">
      <w:pPr>
        <w:pStyle w:val="AARenoufCasestudy"/>
        <w:rPr>
          <w:lang w:eastAsia="en-AU"/>
        </w:rPr>
      </w:pPr>
      <w:r>
        <w:rPr>
          <w:lang w:eastAsia="en-AU"/>
        </w:rPr>
        <w:t>In one case, an investigation began in 2008. It was</w:t>
      </w:r>
      <w:r w:rsidR="007A130F">
        <w:rPr>
          <w:lang w:eastAsia="en-AU"/>
        </w:rPr>
        <w:t xml:space="preserve"> not</w:t>
      </w:r>
      <w:r>
        <w:rPr>
          <w:lang w:eastAsia="en-AU"/>
        </w:rPr>
        <w:t xml:space="preserve"> finalised until mid 2010. In that time the potential debt had increased significantly and because the investigation was conducted in secret our client was not given the opportunity to explain</w:t>
      </w:r>
      <w:r w:rsidR="003A7E5C">
        <w:rPr>
          <w:lang w:eastAsia="en-AU"/>
        </w:rPr>
        <w:t xml:space="preserve"> her relationship with the alle</w:t>
      </w:r>
      <w:r>
        <w:rPr>
          <w:lang w:eastAsia="en-AU"/>
        </w:rPr>
        <w:t xml:space="preserve">ged partner or take </w:t>
      </w:r>
      <w:r w:rsidR="007A130F">
        <w:rPr>
          <w:lang w:eastAsia="en-AU"/>
        </w:rPr>
        <w:t xml:space="preserve">any </w:t>
      </w:r>
      <w:r>
        <w:rPr>
          <w:lang w:eastAsia="en-AU"/>
        </w:rPr>
        <w:t>further steps necessary to establish her separation under social security</w:t>
      </w:r>
      <w:r w:rsidR="007A130F">
        <w:rPr>
          <w:lang w:eastAsia="en-AU"/>
        </w:rPr>
        <w:t xml:space="preserve"> law</w:t>
      </w:r>
      <w:r>
        <w:rPr>
          <w:lang w:eastAsia="en-AU"/>
        </w:rPr>
        <w:t xml:space="preserve">. </w:t>
      </w:r>
    </w:p>
    <w:p w14:paraId="0641A988" w14:textId="18C0F544" w:rsidR="007A06AD" w:rsidRDefault="005E3226" w:rsidP="003A7E5C">
      <w:pPr>
        <w:pStyle w:val="AARenoufCasestudy"/>
        <w:rPr>
          <w:lang w:eastAsia="en-AU"/>
        </w:rPr>
      </w:pPr>
      <w:r>
        <w:rPr>
          <w:lang w:eastAsia="en-AU"/>
        </w:rPr>
        <w:t>When Centrelink contacted her about</w:t>
      </w:r>
      <w:r w:rsidR="007A06AD">
        <w:rPr>
          <w:lang w:eastAsia="en-AU"/>
        </w:rPr>
        <w:t xml:space="preserve"> the</w:t>
      </w:r>
      <w:r>
        <w:rPr>
          <w:lang w:eastAsia="en-AU"/>
        </w:rPr>
        <w:t xml:space="preserve"> in</w:t>
      </w:r>
      <w:r w:rsidR="007A06AD">
        <w:rPr>
          <w:lang w:eastAsia="en-AU"/>
        </w:rPr>
        <w:t>vestigation in 2010 she took fur</w:t>
      </w:r>
      <w:r>
        <w:rPr>
          <w:lang w:eastAsia="en-AU"/>
        </w:rPr>
        <w:t>t</w:t>
      </w:r>
      <w:r w:rsidR="007A06AD">
        <w:rPr>
          <w:lang w:eastAsia="en-AU"/>
        </w:rPr>
        <w:t>h</w:t>
      </w:r>
      <w:r>
        <w:rPr>
          <w:lang w:eastAsia="en-AU"/>
        </w:rPr>
        <w:t>er steps to separate, including obtaining a formal divorce and Centrelink readily accepted that she was single.</w:t>
      </w:r>
      <w:r w:rsidR="007A130F">
        <w:rPr>
          <w:lang w:eastAsia="en-AU"/>
        </w:rPr>
        <w:t xml:space="preserve">  This could have happened in 2008.</w:t>
      </w:r>
      <w:r w:rsidR="007A06AD">
        <w:rPr>
          <w:lang w:eastAsia="en-AU"/>
        </w:rPr>
        <w:t xml:space="preserve"> </w:t>
      </w:r>
    </w:p>
    <w:p w14:paraId="20116CB2" w14:textId="00261499" w:rsidR="007A06AD" w:rsidRDefault="0085557E" w:rsidP="005E3226">
      <w:pPr>
        <w:pStyle w:val="AARenouf-Body1"/>
        <w:rPr>
          <w:lang w:eastAsia="en-AU"/>
        </w:rPr>
      </w:pPr>
      <w:r>
        <w:rPr>
          <w:lang w:eastAsia="en-AU"/>
        </w:rPr>
        <w:t>Further, i</w:t>
      </w:r>
      <w:r w:rsidR="003A7E5C">
        <w:rPr>
          <w:lang w:eastAsia="en-AU"/>
        </w:rPr>
        <w:t>n the above case, t</w:t>
      </w:r>
      <w:r w:rsidR="007A06AD">
        <w:rPr>
          <w:lang w:eastAsia="en-AU"/>
        </w:rPr>
        <w:t xml:space="preserve">he extra two years meant that: </w:t>
      </w:r>
    </w:p>
    <w:p w14:paraId="254EAD44" w14:textId="2E563AF4" w:rsidR="007A06AD" w:rsidRDefault="007A06AD" w:rsidP="003A7E5C">
      <w:pPr>
        <w:pStyle w:val="AARenouf-Body1"/>
        <w:numPr>
          <w:ilvl w:val="0"/>
          <w:numId w:val="27"/>
        </w:numPr>
        <w:rPr>
          <w:lang w:eastAsia="en-AU"/>
        </w:rPr>
      </w:pPr>
      <w:r>
        <w:rPr>
          <w:lang w:eastAsia="en-AU"/>
        </w:rPr>
        <w:lastRenderedPageBreak/>
        <w:t xml:space="preserve">It became harder for her to </w:t>
      </w:r>
      <w:r w:rsidR="007A130F">
        <w:rPr>
          <w:lang w:eastAsia="en-AU"/>
        </w:rPr>
        <w:t>dis</w:t>
      </w:r>
      <w:r>
        <w:rPr>
          <w:lang w:eastAsia="en-AU"/>
        </w:rPr>
        <w:t>prove the allegation because evidence was lost or harder to obtain</w:t>
      </w:r>
    </w:p>
    <w:p w14:paraId="401B9A52" w14:textId="1DE94B6A" w:rsidR="007A06AD" w:rsidRPr="00E95A40" w:rsidRDefault="007A06AD" w:rsidP="003A7E5C">
      <w:pPr>
        <w:pStyle w:val="AARenouf-Body1"/>
        <w:numPr>
          <w:ilvl w:val="0"/>
          <w:numId w:val="27"/>
        </w:numPr>
        <w:rPr>
          <w:lang w:eastAsia="en-AU"/>
        </w:rPr>
      </w:pPr>
      <w:r>
        <w:rPr>
          <w:lang w:eastAsia="en-AU"/>
        </w:rPr>
        <w:t xml:space="preserve">The </w:t>
      </w:r>
      <w:r w:rsidR="005C53C6">
        <w:rPr>
          <w:lang w:eastAsia="en-AU"/>
        </w:rPr>
        <w:t xml:space="preserve">additional </w:t>
      </w:r>
      <w:r>
        <w:rPr>
          <w:lang w:eastAsia="en-AU"/>
        </w:rPr>
        <w:t xml:space="preserve">cost to the public purse was substantial </w:t>
      </w:r>
    </w:p>
    <w:p w14:paraId="08F84AB3" w14:textId="22A38306" w:rsidR="00136D71" w:rsidRDefault="00136D71" w:rsidP="00974496">
      <w:pPr>
        <w:pStyle w:val="Heading2"/>
        <w:rPr>
          <w:lang w:eastAsia="en-AU"/>
        </w:rPr>
      </w:pPr>
      <w:bookmarkStart w:id="8" w:name="_Toc208992018"/>
      <w:r>
        <w:rPr>
          <w:lang w:eastAsia="en-AU"/>
        </w:rPr>
        <w:t>Undue weight on factors that are effectively beyond the person’s control</w:t>
      </w:r>
      <w:bookmarkEnd w:id="8"/>
    </w:p>
    <w:p w14:paraId="5F004160" w14:textId="6E20B708" w:rsidR="009033BA" w:rsidRDefault="00136D71" w:rsidP="009A0012">
      <w:pPr>
        <w:pStyle w:val="AARenouf-Body1"/>
        <w:rPr>
          <w:lang w:eastAsia="en-AU"/>
        </w:rPr>
      </w:pPr>
      <w:r>
        <w:rPr>
          <w:lang w:eastAsia="en-AU"/>
        </w:rPr>
        <w:t xml:space="preserve">A common mistake in the cases we see is a failure by the investigator to </w:t>
      </w:r>
      <w:r w:rsidR="00D20EFE">
        <w:rPr>
          <w:lang w:eastAsia="en-AU"/>
        </w:rPr>
        <w:t xml:space="preserve">properly evaluate the weight to be given to </w:t>
      </w:r>
      <w:r w:rsidR="002535C5">
        <w:rPr>
          <w:lang w:eastAsia="en-AU"/>
        </w:rPr>
        <w:t xml:space="preserve">evidence of arrangements that are effectively beyond the control of the person. </w:t>
      </w:r>
    </w:p>
    <w:p w14:paraId="2B24E933" w14:textId="51C04567" w:rsidR="009A0012" w:rsidRPr="00E95A40" w:rsidRDefault="009A0012" w:rsidP="009A0012">
      <w:pPr>
        <w:pStyle w:val="AARenouf-Body1"/>
        <w:rPr>
          <w:lang w:eastAsia="en-AU"/>
        </w:rPr>
      </w:pPr>
      <w:r w:rsidRPr="00E95A40">
        <w:rPr>
          <w:lang w:eastAsia="en-AU"/>
        </w:rPr>
        <w:t>Single mothers</w:t>
      </w:r>
      <w:r w:rsidR="00517E25">
        <w:rPr>
          <w:lang w:eastAsia="en-AU"/>
        </w:rPr>
        <w:t>, for example,</w:t>
      </w:r>
      <w:r w:rsidRPr="00E95A40">
        <w:rPr>
          <w:lang w:eastAsia="en-AU"/>
        </w:rPr>
        <w:t xml:space="preserve"> often have particular difficulty in trying to disprove member of a</w:t>
      </w:r>
      <w:r>
        <w:rPr>
          <w:lang w:eastAsia="en-AU"/>
        </w:rPr>
        <w:t xml:space="preserve"> couple allegations because of the actions of their ex-</w:t>
      </w:r>
      <w:r w:rsidRPr="00E95A40">
        <w:rPr>
          <w:lang w:eastAsia="en-AU"/>
        </w:rPr>
        <w:t>partner, ie actions over which she generally has no control. C</w:t>
      </w:r>
      <w:r>
        <w:rPr>
          <w:lang w:eastAsia="en-AU"/>
        </w:rPr>
        <w:t>ommon examples are where the ex-</w:t>
      </w:r>
      <w:r w:rsidRPr="00E95A40">
        <w:rPr>
          <w:lang w:eastAsia="en-AU"/>
        </w:rPr>
        <w:t>partner:</w:t>
      </w:r>
    </w:p>
    <w:p w14:paraId="42131894" w14:textId="2139652E" w:rsidR="009A0012" w:rsidRPr="00E95A40" w:rsidRDefault="00411A83" w:rsidP="00E075BD">
      <w:pPr>
        <w:pStyle w:val="AARenouf-Body1"/>
        <w:numPr>
          <w:ilvl w:val="0"/>
          <w:numId w:val="25"/>
        </w:numPr>
        <w:rPr>
          <w:lang w:eastAsia="en-AU"/>
        </w:rPr>
      </w:pPr>
      <w:r>
        <w:rPr>
          <w:lang w:eastAsia="en-AU"/>
        </w:rPr>
        <w:t>lives with other famil</w:t>
      </w:r>
      <w:r w:rsidR="009A0012" w:rsidRPr="00E95A40">
        <w:rPr>
          <w:lang w:eastAsia="en-AU"/>
        </w:rPr>
        <w:t>y members or in informal renting/lodging arrangements or is homeless (ie he cannot produce documentary proof of his address by way of a lease etc)</w:t>
      </w:r>
      <w:r w:rsidR="009A0012">
        <w:rPr>
          <w:lang w:eastAsia="en-AU"/>
        </w:rPr>
        <w:t>;</w:t>
      </w:r>
    </w:p>
    <w:p w14:paraId="71A2B171" w14:textId="77777777" w:rsidR="009A0012" w:rsidRPr="00E95A40" w:rsidRDefault="009A0012" w:rsidP="00E075BD">
      <w:pPr>
        <w:pStyle w:val="AARenouf-Body1"/>
        <w:numPr>
          <w:ilvl w:val="0"/>
          <w:numId w:val="25"/>
        </w:numPr>
        <w:rPr>
          <w:lang w:eastAsia="en-AU"/>
        </w:rPr>
      </w:pPr>
      <w:r w:rsidRPr="00E95A40">
        <w:rPr>
          <w:lang w:eastAsia="en-AU"/>
        </w:rPr>
        <w:t>visits the house regularly to see the children (this can look like co-habitation to surveillance teams)</w:t>
      </w:r>
      <w:r>
        <w:rPr>
          <w:lang w:eastAsia="en-AU"/>
        </w:rPr>
        <w:t>;</w:t>
      </w:r>
    </w:p>
    <w:p w14:paraId="097E276D" w14:textId="77777777" w:rsidR="009A0012" w:rsidRPr="00E95A40" w:rsidRDefault="009A0012" w:rsidP="00E075BD">
      <w:pPr>
        <w:pStyle w:val="AARenouf-Body1"/>
        <w:numPr>
          <w:ilvl w:val="0"/>
          <w:numId w:val="25"/>
        </w:numPr>
        <w:rPr>
          <w:lang w:eastAsia="en-AU"/>
        </w:rPr>
      </w:pPr>
      <w:r w:rsidRPr="00E95A40">
        <w:rPr>
          <w:lang w:eastAsia="en-AU"/>
        </w:rPr>
        <w:t>for reasons of convenience or perhaps laziness, continues to use her address for mail (eg, because he finds it convenient to collect his mail when visiting children)</w:t>
      </w:r>
      <w:r>
        <w:rPr>
          <w:lang w:eastAsia="en-AU"/>
        </w:rPr>
        <w:t>;</w:t>
      </w:r>
    </w:p>
    <w:p w14:paraId="7578BB2C" w14:textId="3459E144" w:rsidR="009A0012" w:rsidRDefault="009A0012" w:rsidP="00E075BD">
      <w:pPr>
        <w:pStyle w:val="AARenouf-Body1"/>
        <w:numPr>
          <w:ilvl w:val="0"/>
          <w:numId w:val="25"/>
        </w:numPr>
        <w:rPr>
          <w:lang w:eastAsia="en-AU"/>
        </w:rPr>
      </w:pPr>
      <w:r w:rsidRPr="00E95A40">
        <w:rPr>
          <w:lang w:eastAsia="en-AU"/>
        </w:rPr>
        <w:t>pays child support via informal arrangements (eg, by paying utility bills)</w:t>
      </w:r>
      <w:r>
        <w:rPr>
          <w:lang w:eastAsia="en-AU"/>
        </w:rPr>
        <w:t>.</w:t>
      </w:r>
    </w:p>
    <w:p w14:paraId="2BDD3980" w14:textId="45CC3D9D" w:rsidR="009033BA" w:rsidRDefault="009033BA" w:rsidP="00974496">
      <w:pPr>
        <w:pStyle w:val="Heading2"/>
        <w:rPr>
          <w:lang w:eastAsia="en-AU"/>
        </w:rPr>
      </w:pPr>
      <w:bookmarkStart w:id="9" w:name="_Toc208992019"/>
      <w:r>
        <w:rPr>
          <w:lang w:eastAsia="en-AU"/>
        </w:rPr>
        <w:t>Failure to have sufficient regard to cultural factors</w:t>
      </w:r>
      <w:bookmarkEnd w:id="9"/>
    </w:p>
    <w:p w14:paraId="7B019BC3" w14:textId="77777777" w:rsidR="00E075BD" w:rsidRDefault="00E075BD" w:rsidP="00E075BD">
      <w:pPr>
        <w:pStyle w:val="AARenouf-Body1"/>
        <w:rPr>
          <w:lang w:eastAsia="en-AU"/>
        </w:rPr>
      </w:pPr>
      <w:r>
        <w:rPr>
          <w:lang w:eastAsia="en-AU"/>
        </w:rPr>
        <w:t>Under social security law, the decision-maker is required to consider the reasons behind a person’s arrangements with an alleged partner and their overall circumstances, we repeatedly see incorrect decisions resulting from a failure to understand the significance of a person’s cultural background.</w:t>
      </w:r>
    </w:p>
    <w:p w14:paraId="553AA4AC" w14:textId="45C40005" w:rsidR="009033BA" w:rsidRPr="00E075BD" w:rsidRDefault="00E075BD" w:rsidP="009033BA">
      <w:pPr>
        <w:pStyle w:val="AARenouf-Body1"/>
      </w:pPr>
      <w:r>
        <w:rPr>
          <w:lang w:eastAsia="en-AU"/>
        </w:rPr>
        <w:t>Some women face high levels of family and community disapproval of separation and divorce and this can lead to arrangements which Centrelink investigators misinterpret as evidence of a member of a couple relationship.  It may be virtually impossible for them to effect a formal property settlement or obtain a formal divorce in the face of disapproval and isolation, and we have seen Centrelink decision-makers place too much reliance on this and fail to acknowledge our client’s attempts to explain why this has not happened.  It can also be difficult for these women to exclude ex-partners from their homes, which can be interpreted by Centrelink decision-make</w:t>
      </w:r>
      <w:r w:rsidR="00517E25">
        <w:rPr>
          <w:lang w:eastAsia="en-AU"/>
        </w:rPr>
        <w:t>rs as co-habitation.  In one</w:t>
      </w:r>
      <w:r>
        <w:rPr>
          <w:lang w:eastAsia="en-AU"/>
        </w:rPr>
        <w:t xml:space="preserve"> case, a client travelled overseas with an ex-partner </w:t>
      </w:r>
      <w:r>
        <w:rPr>
          <w:lang w:eastAsia="en-AU"/>
        </w:rPr>
        <w:lastRenderedPageBreak/>
        <w:t>because it was unacceptable t</w:t>
      </w:r>
      <w:r w:rsidR="00B93B58">
        <w:rPr>
          <w:lang w:eastAsia="en-AU"/>
        </w:rPr>
        <w:t>o him and her family that she travel</w:t>
      </w:r>
      <w:r>
        <w:rPr>
          <w:lang w:eastAsia="en-AU"/>
        </w:rPr>
        <w:t xml:space="preserve"> unaccompanied, but this was still used as evidence she was in a continuing relationship.</w:t>
      </w:r>
    </w:p>
    <w:p w14:paraId="33B18264" w14:textId="2ADF744C" w:rsidR="009A0012" w:rsidRDefault="003F54B1" w:rsidP="00974496">
      <w:pPr>
        <w:pStyle w:val="Heading2"/>
        <w:rPr>
          <w:lang w:eastAsia="en-AU"/>
        </w:rPr>
      </w:pPr>
      <w:bookmarkStart w:id="10" w:name="_Toc208992020"/>
      <w:r>
        <w:rPr>
          <w:lang w:eastAsia="en-AU"/>
        </w:rPr>
        <w:t>Problems with backdating</w:t>
      </w:r>
      <w:r w:rsidR="00FE1122">
        <w:rPr>
          <w:lang w:eastAsia="en-AU"/>
        </w:rPr>
        <w:t xml:space="preserve"> decisions</w:t>
      </w:r>
      <w:bookmarkEnd w:id="10"/>
    </w:p>
    <w:p w14:paraId="69041418" w14:textId="77777777" w:rsidR="003F54B1" w:rsidRDefault="009A0012" w:rsidP="009A0012">
      <w:pPr>
        <w:pStyle w:val="AARenouf-Body1"/>
        <w:rPr>
          <w:lang w:eastAsia="en-AU"/>
        </w:rPr>
      </w:pPr>
      <w:r>
        <w:rPr>
          <w:lang w:eastAsia="en-AU"/>
        </w:rPr>
        <w:t xml:space="preserve">Centrelink raises these large debts by backdating its decision that the person was a member of a couple.  </w:t>
      </w:r>
    </w:p>
    <w:p w14:paraId="366A95F1" w14:textId="6CAE0ADA" w:rsidR="003F54B1" w:rsidRDefault="009A0012" w:rsidP="009A0012">
      <w:pPr>
        <w:pStyle w:val="AARenouf-Body1"/>
        <w:rPr>
          <w:lang w:eastAsia="en-AU"/>
        </w:rPr>
      </w:pPr>
      <w:r>
        <w:rPr>
          <w:lang w:eastAsia="en-AU"/>
        </w:rPr>
        <w:t xml:space="preserve">In our experience, these decisions are made without considering evidence on the file </w:t>
      </w:r>
      <w:r w:rsidR="00517E25">
        <w:rPr>
          <w:lang w:eastAsia="en-AU"/>
        </w:rPr>
        <w:t>showing</w:t>
      </w:r>
      <w:r>
        <w:rPr>
          <w:lang w:eastAsia="en-AU"/>
        </w:rPr>
        <w:t xml:space="preserve"> that the person has properly informed Centrelink about changes to their living arrangements and other circumstances and that Centrelink failed to make a timely decision in response. </w:t>
      </w:r>
    </w:p>
    <w:p w14:paraId="383E886E" w14:textId="401B3D67" w:rsidR="009A0012" w:rsidRDefault="009A0012" w:rsidP="009A0012">
      <w:pPr>
        <w:pStyle w:val="AARenouf-Body1"/>
        <w:rPr>
          <w:lang w:eastAsia="en-AU"/>
        </w:rPr>
      </w:pPr>
      <w:r>
        <w:rPr>
          <w:lang w:eastAsia="en-AU"/>
        </w:rPr>
        <w:t xml:space="preserve"> As the example given earlier of the grandmother who told Centrelink when her ex-partner moved back into the home shows, backdating the member of a couple decision in such cases violates basic principles of natural justice and administrative fairness.  It also ignores limits in social security law on Centrelink’s power to backdate adverse decisions.</w:t>
      </w:r>
    </w:p>
    <w:p w14:paraId="1ABE757A" w14:textId="700F67B1" w:rsidR="009A0012" w:rsidRPr="00E95A40" w:rsidRDefault="009A0012" w:rsidP="009A0012">
      <w:pPr>
        <w:pStyle w:val="AARenouf-Body1"/>
        <w:rPr>
          <w:lang w:eastAsia="en-AU"/>
        </w:rPr>
      </w:pPr>
      <w:r w:rsidRPr="00E95A40">
        <w:rPr>
          <w:lang w:eastAsia="en-AU"/>
        </w:rPr>
        <w:t>This is particularly unfair where</w:t>
      </w:r>
      <w:r w:rsidR="009033BA">
        <w:rPr>
          <w:lang w:eastAsia="en-AU"/>
        </w:rPr>
        <w:t>,</w:t>
      </w:r>
      <w:r w:rsidRPr="00E95A40">
        <w:rPr>
          <w:lang w:eastAsia="en-AU"/>
        </w:rPr>
        <w:t xml:space="preserve"> at the time the person voluntarily provided information or provided all the information asked of them.  If Centrelink had made the decision that they were a member of a couple at the time, it would have been far easier for the person to have collected evidence to show that they were separated, or to have taken further steps to separate if required.  Centrelink’s failure to do so in fact induces people, quite rightly, to assume that Centrelink regards their current circumstances as separated.   </w:t>
      </w:r>
    </w:p>
    <w:p w14:paraId="752674F4" w14:textId="2F7DF66E" w:rsidR="009A0012" w:rsidRPr="00E95A40" w:rsidRDefault="009A0012" w:rsidP="009A0012">
      <w:pPr>
        <w:pStyle w:val="AARenouf-Body1"/>
        <w:rPr>
          <w:lang w:eastAsia="en-AU"/>
        </w:rPr>
      </w:pPr>
      <w:r w:rsidRPr="00E95A40">
        <w:rPr>
          <w:lang w:eastAsia="en-AU"/>
        </w:rPr>
        <w:t xml:space="preserve">The general power to backdate decisions is restricted by section 118 of the </w:t>
      </w:r>
      <w:r w:rsidRPr="00411A83">
        <w:rPr>
          <w:i/>
          <w:lang w:eastAsia="en-AU"/>
        </w:rPr>
        <w:t>Social Security (Administration) Act 1999</w:t>
      </w:r>
      <w:r>
        <w:rPr>
          <w:lang w:eastAsia="en-AU"/>
        </w:rPr>
        <w:t>.  Our Centre</w:t>
      </w:r>
      <w:r w:rsidRPr="00E95A40">
        <w:rPr>
          <w:lang w:eastAsia="en-AU"/>
        </w:rPr>
        <w:t xml:space="preserve"> is concerned that Centrelink will often have little or no regard to s118, which prevents the backdating of adverse decisions in certain circumsta</w:t>
      </w:r>
      <w:r w:rsidR="00411A83">
        <w:rPr>
          <w:lang w:eastAsia="en-AU"/>
        </w:rPr>
        <w:t>nces (for example,</w:t>
      </w:r>
      <w:r w:rsidRPr="00E95A40">
        <w:rPr>
          <w:lang w:eastAsia="en-AU"/>
        </w:rPr>
        <w:t xml:space="preserve"> where a person did not cause the debt by making a </w:t>
      </w:r>
      <w:r w:rsidRPr="00E95A40">
        <w:rPr>
          <w:bCs/>
          <w:lang w:eastAsia="en-AU"/>
        </w:rPr>
        <w:t>false statement or misrepresentation)</w:t>
      </w:r>
      <w:r w:rsidRPr="00E95A40">
        <w:rPr>
          <w:lang w:eastAsia="en-AU"/>
        </w:rPr>
        <w:t xml:space="preserve">. </w:t>
      </w:r>
    </w:p>
    <w:p w14:paraId="0F121DE2" w14:textId="597D5383" w:rsidR="009A0012" w:rsidRDefault="009A0012" w:rsidP="00BF7FC5">
      <w:pPr>
        <w:pStyle w:val="AARenouf-Body1"/>
        <w:rPr>
          <w:lang w:eastAsia="en-AU"/>
        </w:rPr>
      </w:pPr>
      <w:r w:rsidRPr="00E95A40">
        <w:rPr>
          <w:lang w:eastAsia="en-AU"/>
        </w:rPr>
        <w:t>Without legal representation, these debts are often virtually impossible to challenge due to prosecution risk and the difficulty of providing or countering evidence for periods so far into the past.</w:t>
      </w:r>
      <w:r w:rsidR="00E075BD" w:rsidRPr="00E075BD">
        <w:rPr>
          <w:lang w:eastAsia="en-AU"/>
        </w:rPr>
        <w:t xml:space="preserve"> </w:t>
      </w:r>
      <w:r w:rsidR="00E075BD">
        <w:rPr>
          <w:lang w:eastAsia="en-AU"/>
        </w:rPr>
        <w:t>It is absolutely critical that large debts are raised only in clear-cut cases which have been fully investigated, as once raised challenging them can be virtually impossible.</w:t>
      </w:r>
    </w:p>
    <w:p w14:paraId="612353DF" w14:textId="67322CED" w:rsidR="00A20A0F" w:rsidRPr="009A0012" w:rsidRDefault="00A20A0F" w:rsidP="00E075BD">
      <w:pPr>
        <w:pStyle w:val="Heading2"/>
        <w:rPr>
          <w:lang w:eastAsia="en-AU"/>
        </w:rPr>
      </w:pPr>
      <w:bookmarkStart w:id="11" w:name="_Toc208992021"/>
      <w:r w:rsidRPr="009A0012">
        <w:rPr>
          <w:lang w:eastAsia="en-AU"/>
        </w:rPr>
        <w:t>Cost to individuals</w:t>
      </w:r>
      <w:bookmarkEnd w:id="11"/>
    </w:p>
    <w:p w14:paraId="102B3E29" w14:textId="77777777" w:rsidR="00BF7FC5" w:rsidRDefault="00B2494F" w:rsidP="00BF7FC5">
      <w:pPr>
        <w:pStyle w:val="AARenouf-Body1"/>
        <w:rPr>
          <w:lang w:eastAsia="en-AU"/>
        </w:rPr>
      </w:pPr>
      <w:r>
        <w:rPr>
          <w:lang w:eastAsia="en-AU"/>
        </w:rPr>
        <w:t xml:space="preserve">Inaccurate decision-making in this area has a devastating physical, emotional and financial impact on the individuals affected.  It is also contrary to the public interest in efficient administration. </w:t>
      </w:r>
    </w:p>
    <w:p w14:paraId="7A2751DE" w14:textId="65FC77EB" w:rsidR="00BF7FC5" w:rsidRPr="005771C8" w:rsidRDefault="00BF7FC5" w:rsidP="00BF7FC5">
      <w:pPr>
        <w:pStyle w:val="AARenouf-Body1"/>
        <w:rPr>
          <w:lang w:eastAsia="en-AU"/>
        </w:rPr>
      </w:pPr>
      <w:r>
        <w:rPr>
          <w:lang w:eastAsia="en-AU"/>
        </w:rPr>
        <w:t xml:space="preserve">In our Centre’s experience, these huge debts impact disproportionately on women, especially single mothers and women from culturally and linguistically diverse backgrounds.  They have a </w:t>
      </w:r>
      <w:r>
        <w:rPr>
          <w:lang w:eastAsia="en-AU"/>
        </w:rPr>
        <w:lastRenderedPageBreak/>
        <w:t>devastating impact on people’s lives, causing emotional distress and psychological injury and financial hardship to already vulnerable people.  They are also exposed to the risk of prosecution for fraud offences.</w:t>
      </w:r>
    </w:p>
    <w:p w14:paraId="6C878268" w14:textId="1EB99F2E" w:rsidR="00B2494F" w:rsidRPr="009A0012" w:rsidRDefault="00BF7FC5" w:rsidP="00E075BD">
      <w:pPr>
        <w:pStyle w:val="Heading2"/>
        <w:rPr>
          <w:lang w:eastAsia="en-AU"/>
        </w:rPr>
      </w:pPr>
      <w:bookmarkStart w:id="12" w:name="_Toc208992022"/>
      <w:r w:rsidRPr="009A0012">
        <w:rPr>
          <w:lang w:eastAsia="en-AU"/>
        </w:rPr>
        <w:t>Cost to public purse</w:t>
      </w:r>
      <w:bookmarkEnd w:id="12"/>
    </w:p>
    <w:p w14:paraId="015AAAC5" w14:textId="0400B10E" w:rsidR="00B2494F" w:rsidRDefault="00B2494F" w:rsidP="00E33408">
      <w:pPr>
        <w:pStyle w:val="AARenouf-Body1"/>
        <w:rPr>
          <w:lang w:eastAsia="en-AU"/>
        </w:rPr>
      </w:pPr>
      <w:r>
        <w:rPr>
          <w:lang w:eastAsia="en-AU"/>
        </w:rPr>
        <w:t xml:space="preserve">In our experience, Centrelink may devote substantial resources to investigating a person’s member of a couple status, only for those decisions to be overturned at the SSAT.  </w:t>
      </w:r>
      <w:r w:rsidR="00F97EDB">
        <w:rPr>
          <w:lang w:eastAsia="en-AU"/>
        </w:rPr>
        <w:t xml:space="preserve">Many of these investigations take several years to finalise. The cost to the commonwealth includes: </w:t>
      </w:r>
    </w:p>
    <w:p w14:paraId="7C773387" w14:textId="422B7DFC" w:rsidR="00F97EDB" w:rsidRDefault="00F97EDB" w:rsidP="00F97EDB">
      <w:pPr>
        <w:pStyle w:val="AARenouf-Body1"/>
        <w:numPr>
          <w:ilvl w:val="0"/>
          <w:numId w:val="26"/>
        </w:numPr>
        <w:rPr>
          <w:lang w:eastAsia="en-AU"/>
        </w:rPr>
      </w:pPr>
      <w:r>
        <w:rPr>
          <w:lang w:eastAsia="en-AU"/>
        </w:rPr>
        <w:t>The costs of investigation</w:t>
      </w:r>
    </w:p>
    <w:p w14:paraId="52EF520C" w14:textId="4B6A393B" w:rsidR="00F97EDB" w:rsidRDefault="00F97EDB" w:rsidP="00F97EDB">
      <w:pPr>
        <w:pStyle w:val="AARenouf-Body1"/>
        <w:numPr>
          <w:ilvl w:val="0"/>
          <w:numId w:val="26"/>
        </w:numPr>
        <w:rPr>
          <w:lang w:eastAsia="en-AU"/>
        </w:rPr>
      </w:pPr>
      <w:r>
        <w:rPr>
          <w:lang w:eastAsia="en-AU"/>
        </w:rPr>
        <w:t>The costs of appeal (to the ARO, SSAT and AAT)</w:t>
      </w:r>
    </w:p>
    <w:p w14:paraId="45225F01" w14:textId="4481E7A1" w:rsidR="00F97EDB" w:rsidRPr="00E95A40" w:rsidRDefault="005161BA" w:rsidP="00E33408">
      <w:pPr>
        <w:pStyle w:val="AARenouf-Body1"/>
        <w:rPr>
          <w:lang w:eastAsia="en-AU"/>
        </w:rPr>
      </w:pPr>
      <w:r>
        <w:rPr>
          <w:lang w:eastAsia="en-AU"/>
        </w:rPr>
        <w:t>Running these cases is extreme</w:t>
      </w:r>
      <w:r w:rsidR="00F97EDB">
        <w:rPr>
          <w:lang w:eastAsia="en-AU"/>
        </w:rPr>
        <w:t>ly re</w:t>
      </w:r>
      <w:r>
        <w:rPr>
          <w:lang w:eastAsia="en-AU"/>
        </w:rPr>
        <w:t xml:space="preserve">source intensive </w:t>
      </w:r>
      <w:r w:rsidR="00F97EDB">
        <w:rPr>
          <w:lang w:eastAsia="en-AU"/>
        </w:rPr>
        <w:t>for the Welfare Rights Centres, State Legal Aids</w:t>
      </w:r>
      <w:r>
        <w:rPr>
          <w:lang w:eastAsia="en-AU"/>
        </w:rPr>
        <w:t xml:space="preserve"> </w:t>
      </w:r>
      <w:r w:rsidR="00F97EDB">
        <w:rPr>
          <w:lang w:eastAsia="en-AU"/>
        </w:rPr>
        <w:t>and other community legal sector organisations.</w:t>
      </w:r>
    </w:p>
    <w:p w14:paraId="26F60D74" w14:textId="77777777" w:rsidR="00B2494F" w:rsidRDefault="00B2494F" w:rsidP="00E33408">
      <w:pPr>
        <w:pStyle w:val="AARenouf-Body1"/>
      </w:pPr>
    </w:p>
    <w:p w14:paraId="486EE4F2" w14:textId="77777777" w:rsidR="0087264B" w:rsidRPr="00E07A77" w:rsidRDefault="0087264B" w:rsidP="00E33408">
      <w:pPr>
        <w:pStyle w:val="AARenouf-Body1"/>
      </w:pPr>
    </w:p>
    <w:sectPr w:rsidR="0087264B" w:rsidRPr="00E07A77" w:rsidSect="00B4371D">
      <w:footerReference w:type="even" r:id="rId9"/>
      <w:footerReference w:type="default" r:id="rId10"/>
      <w:footerReference w:type="first" r:id="rId11"/>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5080F" w14:textId="77777777" w:rsidR="00A73054" w:rsidRDefault="00A73054" w:rsidP="00496622">
      <w:r>
        <w:separator/>
      </w:r>
    </w:p>
  </w:endnote>
  <w:endnote w:type="continuationSeparator" w:id="0">
    <w:p w14:paraId="2B219E97" w14:textId="77777777" w:rsidR="00A73054" w:rsidRDefault="00A73054" w:rsidP="0049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ambria Math"/>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802DC" w14:textId="77777777" w:rsidR="00467BA8" w:rsidRDefault="00467BA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
      <w:sdtPr>
        <w:rPr>
          <w:rStyle w:val="PageNumber"/>
          <w:noProof/>
        </w:rPr>
        <w:id w:val="969400743"/>
        <w:temporary/>
        <w:showingPlcHdr/>
      </w:sdtPr>
      <w:sdtEndPr>
        <w:rPr>
          <w:rStyle w:val="PageNumber"/>
        </w:rPr>
      </w:sdtEndPr>
      <w:sdtContent>
        <w:r w:rsidRPr="00F32F0C">
          <w:rPr>
            <w:rStyle w:val="PageNumber"/>
            <w:noProof/>
          </w:rPr>
          <w:t>[Type text]</w:t>
        </w:r>
      </w:sdtContent>
    </w:sdt>
    <w:r w:rsidRPr="00F32F0C">
      <w:rPr>
        <w:rStyle w:val="PageNumber"/>
        <w:noProof/>
      </w:rPr>
      <w:ptab w:relativeTo="margin" w:alignment="center" w:leader="none"/>
    </w:r>
    <w:sdt>
      <w:sdtPr>
        <w:rPr>
          <w:rStyle w:val="PageNumber"/>
          <w:noProof/>
        </w:rPr>
        <w:id w:val="969400748"/>
        <w:temporary/>
        <w:showingPlcHdr/>
      </w:sdtPr>
      <w:sdtEndPr>
        <w:rPr>
          <w:rStyle w:val="PageNumber"/>
        </w:rPr>
      </w:sdtEndPr>
      <w:sdtContent>
        <w:r w:rsidRPr="00F32F0C">
          <w:rPr>
            <w:rStyle w:val="PageNumber"/>
            <w:noProof/>
          </w:rPr>
          <w:t>[Type text]</w:t>
        </w:r>
      </w:sdtContent>
    </w:sdt>
    <w:r w:rsidRPr="00F32F0C">
      <w:rPr>
        <w:rStyle w:val="PageNumber"/>
        <w:noProof/>
      </w:rPr>
      <w:ptab w:relativeTo="margin" w:alignment="right" w:leader="none"/>
    </w:r>
    <w:sdt>
      <w:sdtPr>
        <w:rPr>
          <w:rStyle w:val="PageNumber"/>
          <w:noProof/>
        </w:rPr>
        <w:id w:val="969400753"/>
        <w:temporary/>
        <w:showingPlcHdr/>
      </w:sdtPr>
      <w:sdtEndPr>
        <w:rPr>
          <w:rStyle w:val="PageNumber"/>
        </w:rPr>
      </w:sdtEndPr>
      <w:sdtContent>
        <w:r w:rsidRPr="00F32F0C">
          <w:rPr>
            <w:rStyle w:val="PageNumber"/>
            <w:noProof/>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39" w:type="pct"/>
      <w:tblCellMar>
        <w:top w:w="58" w:type="dxa"/>
        <w:left w:w="115" w:type="dxa"/>
        <w:bottom w:w="58" w:type="dxa"/>
        <w:right w:w="115" w:type="dxa"/>
      </w:tblCellMar>
      <w:tblLook w:val="04A0" w:firstRow="1" w:lastRow="0" w:firstColumn="1" w:lastColumn="0" w:noHBand="0" w:noVBand="1"/>
    </w:tblPr>
    <w:tblGrid>
      <w:gridCol w:w="8905"/>
      <w:gridCol w:w="566"/>
    </w:tblGrid>
    <w:tr w:rsidR="00467BA8" w14:paraId="7E01B82E" w14:textId="77777777">
      <w:sdt>
        <w:sdtPr>
          <w:rPr>
            <w:rFonts w:ascii="Calibri" w:eastAsiaTheme="majorEastAsia" w:hAnsi="Calibri" w:cstheme="majorBidi"/>
            <w:b/>
            <w:color w:val="4F81BD" w:themeColor="accent1"/>
            <w:sz w:val="18"/>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01" w:type="pct"/>
              <w:tcBorders>
                <w:right w:val="single" w:sz="18" w:space="0" w:color="4F81BD" w:themeColor="accent1"/>
              </w:tcBorders>
            </w:tcPr>
            <w:p w14:paraId="44BE689C" w14:textId="19C29C84" w:rsidR="00467BA8" w:rsidRPr="00412958" w:rsidRDefault="00467BA8" w:rsidP="00FE1122">
              <w:pPr>
                <w:pStyle w:val="Header"/>
                <w:rPr>
                  <w:rFonts w:ascii="Calibri" w:hAnsi="Calibri"/>
                  <w:b/>
                  <w:color w:val="4F81BD" w:themeColor="accent1"/>
                </w:rPr>
              </w:pPr>
              <w:r>
                <w:rPr>
                  <w:rFonts w:ascii="Calibri" w:eastAsiaTheme="majorEastAsia" w:hAnsi="Calibri" w:cstheme="majorBidi"/>
                  <w:b/>
                  <w:color w:val="4F81BD" w:themeColor="accent1"/>
                  <w:sz w:val="18"/>
                </w:rPr>
                <w:t>Issues Paper: Problems with member of a couple decisions made by Centrelink investigations teams, Welfare Rights Centre, Sydney September 2012</w:t>
              </w:r>
            </w:p>
          </w:tc>
        </w:sdtContent>
      </w:sdt>
      <w:tc>
        <w:tcPr>
          <w:tcW w:w="299" w:type="pct"/>
          <w:tcBorders>
            <w:left w:val="single" w:sz="18" w:space="0" w:color="4F81BD" w:themeColor="accent1"/>
          </w:tcBorders>
          <w:shd w:val="clear" w:color="auto" w:fill="auto"/>
        </w:tcPr>
        <w:p w14:paraId="57C00EB9" w14:textId="77777777" w:rsidR="00467BA8" w:rsidRPr="00C7200C" w:rsidRDefault="00467BA8" w:rsidP="008A7EC4">
          <w:pPr>
            <w:pStyle w:val="Header"/>
            <w:rPr>
              <w:rFonts w:ascii="Calibri" w:eastAsiaTheme="majorEastAsia" w:hAnsi="Calibri" w:cstheme="majorBidi"/>
              <w:b/>
              <w:color w:val="4F81BD" w:themeColor="accent1"/>
            </w:rPr>
          </w:pPr>
          <w:r>
            <w:fldChar w:fldCharType="begin"/>
          </w:r>
          <w:r>
            <w:instrText xml:space="preserve"> PAGE   \* MERGEFORMAT </w:instrText>
          </w:r>
          <w:r>
            <w:fldChar w:fldCharType="separate"/>
          </w:r>
          <w:r w:rsidR="00FC2B2A" w:rsidRPr="00FC2B2A">
            <w:rPr>
              <w:rFonts w:ascii="Calibri" w:hAnsi="Calibri"/>
              <w:b/>
              <w:noProof/>
              <w:color w:val="4F81BD" w:themeColor="accent1"/>
            </w:rPr>
            <w:t>10</w:t>
          </w:r>
          <w:r>
            <w:rPr>
              <w:rFonts w:ascii="Calibri" w:hAnsi="Calibri"/>
              <w:b/>
              <w:noProof/>
              <w:color w:val="4F81BD" w:themeColor="accent1"/>
            </w:rPr>
            <w:fldChar w:fldCharType="end"/>
          </w:r>
        </w:p>
      </w:tc>
    </w:tr>
  </w:tbl>
  <w:p w14:paraId="2303A8E9" w14:textId="77777777" w:rsidR="00467BA8" w:rsidRDefault="00467BA8" w:rsidP="00D8551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31CC" w14:textId="77777777" w:rsidR="00467BA8" w:rsidRDefault="00467BA8" w:rsidP="00F32F0C">
    <w:pPr>
      <w:pStyle w:val="Footer"/>
      <w:jc w:val="right"/>
    </w:pPr>
    <w:r>
      <w:rPr>
        <w:rStyle w:val="PageNumber"/>
      </w:rPr>
      <w:fldChar w:fldCharType="begin"/>
    </w:r>
    <w:r>
      <w:rPr>
        <w:rStyle w:val="PageNumber"/>
      </w:rPr>
      <w:instrText xml:space="preserve"> PAGE </w:instrText>
    </w:r>
    <w:r>
      <w:rPr>
        <w:rStyle w:val="PageNumber"/>
      </w:rPr>
      <w:fldChar w:fldCharType="separate"/>
    </w:r>
    <w:r w:rsidR="00FC2B2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EE03" w14:textId="77777777" w:rsidR="00A73054" w:rsidRDefault="00A73054" w:rsidP="00496622">
      <w:r>
        <w:separator/>
      </w:r>
    </w:p>
  </w:footnote>
  <w:footnote w:type="continuationSeparator" w:id="0">
    <w:p w14:paraId="2BF78320" w14:textId="77777777" w:rsidR="00A73054" w:rsidRDefault="00A73054" w:rsidP="00496622">
      <w:r>
        <w:continuationSeparator/>
      </w:r>
    </w:p>
  </w:footnote>
  <w:footnote w:id="1">
    <w:p w14:paraId="54F1E99E" w14:textId="77777777" w:rsidR="00467BA8" w:rsidRPr="00D11918" w:rsidRDefault="00467BA8" w:rsidP="00B2494F">
      <w:pPr>
        <w:pStyle w:val="FootnoteText"/>
        <w:rPr>
          <w:lang w:val="en-US"/>
        </w:rPr>
      </w:pPr>
      <w:r>
        <w:rPr>
          <w:rStyle w:val="FootnoteReference"/>
        </w:rPr>
        <w:footnoteRef/>
      </w:r>
      <w:r>
        <w:t xml:space="preserve"> </w:t>
      </w:r>
      <w:r>
        <w:rPr>
          <w:lang w:val="en-US"/>
        </w:rPr>
        <w:t xml:space="preserve">See the Social Security Appeals Tribunal Annual Report 2010-2011 at 37 (at </w:t>
      </w:r>
      <w:hyperlink r:id="rId1" w:history="1">
        <w:r w:rsidRPr="002F77AA">
          <w:rPr>
            <w:rStyle w:val="Hyperlink"/>
            <w:lang w:val="en-US"/>
          </w:rPr>
          <w:t>http://www.ssat.gov.au/media/10489/ssat_annual_report_2010-11.pdf</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7A2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C628B38"/>
    <w:lvl w:ilvl="0">
      <w:start w:val="1"/>
      <w:numFmt w:val="decimal"/>
      <w:lvlText w:val="%1."/>
      <w:lvlJc w:val="left"/>
      <w:pPr>
        <w:tabs>
          <w:tab w:val="num" w:pos="1492"/>
        </w:tabs>
        <w:ind w:left="1492" w:hanging="360"/>
      </w:pPr>
    </w:lvl>
  </w:abstractNum>
  <w:abstractNum w:abstractNumId="2">
    <w:nsid w:val="FFFFFF7D"/>
    <w:multiLevelType w:val="singleLevel"/>
    <w:tmpl w:val="AB1860F4"/>
    <w:lvl w:ilvl="0">
      <w:start w:val="1"/>
      <w:numFmt w:val="decimal"/>
      <w:lvlText w:val="%1."/>
      <w:lvlJc w:val="left"/>
      <w:pPr>
        <w:tabs>
          <w:tab w:val="num" w:pos="1209"/>
        </w:tabs>
        <w:ind w:left="1209" w:hanging="360"/>
      </w:pPr>
    </w:lvl>
  </w:abstractNum>
  <w:abstractNum w:abstractNumId="3">
    <w:nsid w:val="FFFFFF7E"/>
    <w:multiLevelType w:val="singleLevel"/>
    <w:tmpl w:val="5BB46630"/>
    <w:lvl w:ilvl="0">
      <w:start w:val="1"/>
      <w:numFmt w:val="decimal"/>
      <w:lvlText w:val="%1."/>
      <w:lvlJc w:val="left"/>
      <w:pPr>
        <w:tabs>
          <w:tab w:val="num" w:pos="926"/>
        </w:tabs>
        <w:ind w:left="926" w:hanging="360"/>
      </w:pPr>
    </w:lvl>
  </w:abstractNum>
  <w:abstractNum w:abstractNumId="4">
    <w:nsid w:val="FFFFFF7F"/>
    <w:multiLevelType w:val="singleLevel"/>
    <w:tmpl w:val="9DE61FB2"/>
    <w:lvl w:ilvl="0">
      <w:start w:val="1"/>
      <w:numFmt w:val="decimal"/>
      <w:lvlText w:val="%1."/>
      <w:lvlJc w:val="left"/>
      <w:pPr>
        <w:tabs>
          <w:tab w:val="num" w:pos="643"/>
        </w:tabs>
        <w:ind w:left="643" w:hanging="360"/>
      </w:pPr>
    </w:lvl>
  </w:abstractNum>
  <w:abstractNum w:abstractNumId="5">
    <w:nsid w:val="FFFFFF80"/>
    <w:multiLevelType w:val="singleLevel"/>
    <w:tmpl w:val="AE56C2E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A1608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3ECC3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6AE368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E18A2FE4"/>
    <w:lvl w:ilvl="0">
      <w:start w:val="1"/>
      <w:numFmt w:val="decimal"/>
      <w:lvlText w:val="%1."/>
      <w:lvlJc w:val="left"/>
      <w:pPr>
        <w:tabs>
          <w:tab w:val="num" w:pos="360"/>
        </w:tabs>
        <w:ind w:left="360" w:hanging="360"/>
      </w:pPr>
    </w:lvl>
  </w:abstractNum>
  <w:abstractNum w:abstractNumId="10">
    <w:nsid w:val="FFFFFF89"/>
    <w:multiLevelType w:val="singleLevel"/>
    <w:tmpl w:val="74C88FF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BB41C8"/>
    <w:multiLevelType w:val="hybridMultilevel"/>
    <w:tmpl w:val="B1EAE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A1AE5"/>
    <w:multiLevelType w:val="hybridMultilevel"/>
    <w:tmpl w:val="63C29CCE"/>
    <w:lvl w:ilvl="0" w:tplc="A5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96958"/>
    <w:multiLevelType w:val="hybridMultilevel"/>
    <w:tmpl w:val="27CE80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4D7F18"/>
    <w:multiLevelType w:val="hybridMultilevel"/>
    <w:tmpl w:val="396C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95E1A"/>
    <w:multiLevelType w:val="hybridMultilevel"/>
    <w:tmpl w:val="FCA297D2"/>
    <w:lvl w:ilvl="0" w:tplc="A5D0BB34">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A530E6"/>
    <w:multiLevelType w:val="multilevel"/>
    <w:tmpl w:val="0409001F"/>
    <w:numStyleLink w:val="111111"/>
  </w:abstractNum>
  <w:abstractNum w:abstractNumId="18">
    <w:nsid w:val="32C858B5"/>
    <w:multiLevelType w:val="hybridMultilevel"/>
    <w:tmpl w:val="FC9C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C4260"/>
    <w:multiLevelType w:val="hybridMultilevel"/>
    <w:tmpl w:val="FACC1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112A8"/>
    <w:multiLevelType w:val="hybridMultilevel"/>
    <w:tmpl w:val="C69611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37BBB"/>
    <w:multiLevelType w:val="multilevel"/>
    <w:tmpl w:val="7AEAC9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46C41373"/>
    <w:multiLevelType w:val="hybridMultilevel"/>
    <w:tmpl w:val="B6F0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266E3"/>
    <w:multiLevelType w:val="hybridMultilevel"/>
    <w:tmpl w:val="C70C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56CD7"/>
    <w:multiLevelType w:val="multilevel"/>
    <w:tmpl w:val="EDE8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C57A9C"/>
    <w:multiLevelType w:val="hybridMultilevel"/>
    <w:tmpl w:val="B77205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A41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D13489"/>
    <w:multiLevelType w:val="hybridMultilevel"/>
    <w:tmpl w:val="AE30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966B69"/>
    <w:multiLevelType w:val="multilevel"/>
    <w:tmpl w:val="0409001F"/>
    <w:numStyleLink w:val="111111"/>
  </w:abstractNum>
  <w:abstractNum w:abstractNumId="29">
    <w:nsid w:val="766A0B6C"/>
    <w:multiLevelType w:val="hybridMultilevel"/>
    <w:tmpl w:val="23783A84"/>
    <w:lvl w:ilvl="0" w:tplc="04090001">
      <w:start w:val="1"/>
      <w:numFmt w:val="bullet"/>
      <w:lvlText w:val=""/>
      <w:lvlJc w:val="left"/>
      <w:pPr>
        <w:ind w:left="720" w:hanging="360"/>
      </w:pPr>
      <w:rPr>
        <w:rFonts w:ascii="Symbol" w:hAnsi="Symbol" w:hint="default"/>
      </w:rPr>
    </w:lvl>
    <w:lvl w:ilvl="1" w:tplc="3FD2C646">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B51A8C"/>
    <w:multiLevelType w:val="hybridMultilevel"/>
    <w:tmpl w:val="2C3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0"/>
  </w:num>
  <w:num w:numId="5">
    <w:abstractNumId w:val="8"/>
  </w:num>
  <w:num w:numId="6">
    <w:abstractNumId w:val="29"/>
  </w:num>
  <w:num w:numId="7">
    <w:abstractNumId w:val="21"/>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14"/>
  </w:num>
  <w:num w:numId="20">
    <w:abstractNumId w:val="25"/>
  </w:num>
  <w:num w:numId="21">
    <w:abstractNumId w:val="27"/>
  </w:num>
  <w:num w:numId="22">
    <w:abstractNumId w:val="19"/>
  </w:num>
  <w:num w:numId="23">
    <w:abstractNumId w:val="20"/>
  </w:num>
  <w:num w:numId="24">
    <w:abstractNumId w:val="15"/>
  </w:num>
  <w:num w:numId="25">
    <w:abstractNumId w:val="30"/>
  </w:num>
  <w:num w:numId="26">
    <w:abstractNumId w:val="23"/>
  </w:num>
  <w:num w:numId="27">
    <w:abstractNumId w:val="22"/>
  </w:num>
  <w:num w:numId="28">
    <w:abstractNumId w:val="26"/>
  </w:num>
  <w:num w:numId="29">
    <w:abstractNumId w:val="17"/>
  </w:num>
  <w:num w:numId="30">
    <w:abstractNumId w:val="12"/>
  </w:num>
  <w:num w:numId="3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0E"/>
    <w:rsid w:val="00000813"/>
    <w:rsid w:val="000044A9"/>
    <w:rsid w:val="00004EED"/>
    <w:rsid w:val="00012399"/>
    <w:rsid w:val="000160D3"/>
    <w:rsid w:val="00031B51"/>
    <w:rsid w:val="00041936"/>
    <w:rsid w:val="00041F30"/>
    <w:rsid w:val="00042D06"/>
    <w:rsid w:val="00046950"/>
    <w:rsid w:val="00051413"/>
    <w:rsid w:val="00052F8A"/>
    <w:rsid w:val="00053863"/>
    <w:rsid w:val="0005406E"/>
    <w:rsid w:val="00056BA7"/>
    <w:rsid w:val="0005733E"/>
    <w:rsid w:val="00057F63"/>
    <w:rsid w:val="00066EB9"/>
    <w:rsid w:val="00080B87"/>
    <w:rsid w:val="00082D9A"/>
    <w:rsid w:val="000874E2"/>
    <w:rsid w:val="00092EAD"/>
    <w:rsid w:val="000A07F7"/>
    <w:rsid w:val="000A1A18"/>
    <w:rsid w:val="000A1AC9"/>
    <w:rsid w:val="000A2C5B"/>
    <w:rsid w:val="000A3700"/>
    <w:rsid w:val="000A3784"/>
    <w:rsid w:val="000A381D"/>
    <w:rsid w:val="000A3C33"/>
    <w:rsid w:val="000B240E"/>
    <w:rsid w:val="000B7321"/>
    <w:rsid w:val="000C1A53"/>
    <w:rsid w:val="000C2505"/>
    <w:rsid w:val="000E0D29"/>
    <w:rsid w:val="000E6079"/>
    <w:rsid w:val="000F5AE2"/>
    <w:rsid w:val="000F5CB3"/>
    <w:rsid w:val="000F67B6"/>
    <w:rsid w:val="00100017"/>
    <w:rsid w:val="001018A2"/>
    <w:rsid w:val="001030FB"/>
    <w:rsid w:val="001201F1"/>
    <w:rsid w:val="00133CDE"/>
    <w:rsid w:val="0013684A"/>
    <w:rsid w:val="00136D71"/>
    <w:rsid w:val="00137474"/>
    <w:rsid w:val="00140F85"/>
    <w:rsid w:val="001417FE"/>
    <w:rsid w:val="00143564"/>
    <w:rsid w:val="00144AC9"/>
    <w:rsid w:val="001503E5"/>
    <w:rsid w:val="00160CD1"/>
    <w:rsid w:val="00165A63"/>
    <w:rsid w:val="00170F5E"/>
    <w:rsid w:val="00174327"/>
    <w:rsid w:val="00176377"/>
    <w:rsid w:val="001803B5"/>
    <w:rsid w:val="0018046D"/>
    <w:rsid w:val="001815C2"/>
    <w:rsid w:val="00181953"/>
    <w:rsid w:val="001833EB"/>
    <w:rsid w:val="001903E3"/>
    <w:rsid w:val="0019770D"/>
    <w:rsid w:val="001A068A"/>
    <w:rsid w:val="001B23C7"/>
    <w:rsid w:val="001C6C9B"/>
    <w:rsid w:val="001D6573"/>
    <w:rsid w:val="001E12D1"/>
    <w:rsid w:val="001E22C7"/>
    <w:rsid w:val="001E5896"/>
    <w:rsid w:val="001F4706"/>
    <w:rsid w:val="002006C9"/>
    <w:rsid w:val="0020265A"/>
    <w:rsid w:val="0020434E"/>
    <w:rsid w:val="0020645C"/>
    <w:rsid w:val="00210FB8"/>
    <w:rsid w:val="0021154D"/>
    <w:rsid w:val="00215E51"/>
    <w:rsid w:val="00221264"/>
    <w:rsid w:val="002302F2"/>
    <w:rsid w:val="00235168"/>
    <w:rsid w:val="00237EDA"/>
    <w:rsid w:val="00240C8F"/>
    <w:rsid w:val="00242038"/>
    <w:rsid w:val="002444C5"/>
    <w:rsid w:val="002463A8"/>
    <w:rsid w:val="002535C5"/>
    <w:rsid w:val="00266989"/>
    <w:rsid w:val="00270529"/>
    <w:rsid w:val="00270A1C"/>
    <w:rsid w:val="00271DE9"/>
    <w:rsid w:val="0027667F"/>
    <w:rsid w:val="00283440"/>
    <w:rsid w:val="0028594F"/>
    <w:rsid w:val="00291617"/>
    <w:rsid w:val="00292A7A"/>
    <w:rsid w:val="00292D83"/>
    <w:rsid w:val="00293930"/>
    <w:rsid w:val="002B3DDB"/>
    <w:rsid w:val="002B4848"/>
    <w:rsid w:val="002C0E25"/>
    <w:rsid w:val="002C5648"/>
    <w:rsid w:val="002C5AD2"/>
    <w:rsid w:val="002C5BA6"/>
    <w:rsid w:val="002D25F7"/>
    <w:rsid w:val="002D275B"/>
    <w:rsid w:val="002D4395"/>
    <w:rsid w:val="002D49B7"/>
    <w:rsid w:val="002E2C31"/>
    <w:rsid w:val="002E5262"/>
    <w:rsid w:val="002E761C"/>
    <w:rsid w:val="002F6CBE"/>
    <w:rsid w:val="0030257F"/>
    <w:rsid w:val="00307C01"/>
    <w:rsid w:val="00315689"/>
    <w:rsid w:val="003212FB"/>
    <w:rsid w:val="00327655"/>
    <w:rsid w:val="0033035D"/>
    <w:rsid w:val="00331CCD"/>
    <w:rsid w:val="0034471D"/>
    <w:rsid w:val="0035047F"/>
    <w:rsid w:val="00352BC2"/>
    <w:rsid w:val="00354653"/>
    <w:rsid w:val="00355762"/>
    <w:rsid w:val="00355C04"/>
    <w:rsid w:val="00356C1B"/>
    <w:rsid w:val="0036192C"/>
    <w:rsid w:val="003802FF"/>
    <w:rsid w:val="00380893"/>
    <w:rsid w:val="00382E72"/>
    <w:rsid w:val="00383D6A"/>
    <w:rsid w:val="003850D2"/>
    <w:rsid w:val="00387D17"/>
    <w:rsid w:val="00394CDD"/>
    <w:rsid w:val="003A300B"/>
    <w:rsid w:val="003A3374"/>
    <w:rsid w:val="003A61FC"/>
    <w:rsid w:val="003A627D"/>
    <w:rsid w:val="003A7E5C"/>
    <w:rsid w:val="003B0918"/>
    <w:rsid w:val="003B1CDD"/>
    <w:rsid w:val="003B2417"/>
    <w:rsid w:val="003B31CC"/>
    <w:rsid w:val="003B3770"/>
    <w:rsid w:val="003C1DC7"/>
    <w:rsid w:val="003C43B4"/>
    <w:rsid w:val="003D0955"/>
    <w:rsid w:val="003D3525"/>
    <w:rsid w:val="003D4C67"/>
    <w:rsid w:val="003D791B"/>
    <w:rsid w:val="003E069C"/>
    <w:rsid w:val="003E0AA8"/>
    <w:rsid w:val="003F14F8"/>
    <w:rsid w:val="003F1F7C"/>
    <w:rsid w:val="003F48F9"/>
    <w:rsid w:val="003F54B1"/>
    <w:rsid w:val="003F6AA5"/>
    <w:rsid w:val="00405882"/>
    <w:rsid w:val="00411A83"/>
    <w:rsid w:val="00416EC3"/>
    <w:rsid w:val="00421A58"/>
    <w:rsid w:val="00423A5E"/>
    <w:rsid w:val="00435CEC"/>
    <w:rsid w:val="00435CF6"/>
    <w:rsid w:val="0043653C"/>
    <w:rsid w:val="00436C46"/>
    <w:rsid w:val="00446C35"/>
    <w:rsid w:val="004529D2"/>
    <w:rsid w:val="00454D03"/>
    <w:rsid w:val="0045637E"/>
    <w:rsid w:val="00466825"/>
    <w:rsid w:val="00467BA8"/>
    <w:rsid w:val="00470A48"/>
    <w:rsid w:val="004800F5"/>
    <w:rsid w:val="0048548A"/>
    <w:rsid w:val="004907C2"/>
    <w:rsid w:val="00491EDD"/>
    <w:rsid w:val="00494AC2"/>
    <w:rsid w:val="00494DE6"/>
    <w:rsid w:val="00496622"/>
    <w:rsid w:val="004A0008"/>
    <w:rsid w:val="004A0A66"/>
    <w:rsid w:val="004A294D"/>
    <w:rsid w:val="004A30BD"/>
    <w:rsid w:val="004A7718"/>
    <w:rsid w:val="004B0C9B"/>
    <w:rsid w:val="004B2FA5"/>
    <w:rsid w:val="004B5561"/>
    <w:rsid w:val="004C1E46"/>
    <w:rsid w:val="004C3086"/>
    <w:rsid w:val="004D06E0"/>
    <w:rsid w:val="004D1A7A"/>
    <w:rsid w:val="004D4967"/>
    <w:rsid w:val="004E3F4E"/>
    <w:rsid w:val="004F33EE"/>
    <w:rsid w:val="004F711C"/>
    <w:rsid w:val="00501C12"/>
    <w:rsid w:val="00503BE2"/>
    <w:rsid w:val="00504E02"/>
    <w:rsid w:val="00510358"/>
    <w:rsid w:val="005161A5"/>
    <w:rsid w:val="005161BA"/>
    <w:rsid w:val="00517E25"/>
    <w:rsid w:val="00520C7E"/>
    <w:rsid w:val="005220C1"/>
    <w:rsid w:val="00526DC3"/>
    <w:rsid w:val="00531CE2"/>
    <w:rsid w:val="00533338"/>
    <w:rsid w:val="005404A2"/>
    <w:rsid w:val="00540B50"/>
    <w:rsid w:val="00550A73"/>
    <w:rsid w:val="005512B6"/>
    <w:rsid w:val="0055146F"/>
    <w:rsid w:val="00552512"/>
    <w:rsid w:val="00554054"/>
    <w:rsid w:val="00562027"/>
    <w:rsid w:val="00562D60"/>
    <w:rsid w:val="00564A2E"/>
    <w:rsid w:val="00572F40"/>
    <w:rsid w:val="005864C8"/>
    <w:rsid w:val="005914C4"/>
    <w:rsid w:val="00591DD7"/>
    <w:rsid w:val="00597163"/>
    <w:rsid w:val="005B0A2C"/>
    <w:rsid w:val="005B0AB8"/>
    <w:rsid w:val="005B2F8D"/>
    <w:rsid w:val="005B4FFC"/>
    <w:rsid w:val="005B6BBE"/>
    <w:rsid w:val="005B7AEF"/>
    <w:rsid w:val="005C2E93"/>
    <w:rsid w:val="005C53C6"/>
    <w:rsid w:val="005D0C03"/>
    <w:rsid w:val="005D0F89"/>
    <w:rsid w:val="005D2B16"/>
    <w:rsid w:val="005D49B7"/>
    <w:rsid w:val="005D7F11"/>
    <w:rsid w:val="005E093B"/>
    <w:rsid w:val="005E3226"/>
    <w:rsid w:val="005E41F8"/>
    <w:rsid w:val="005E48E4"/>
    <w:rsid w:val="005E4E8F"/>
    <w:rsid w:val="005F448B"/>
    <w:rsid w:val="00600677"/>
    <w:rsid w:val="006012E5"/>
    <w:rsid w:val="00605369"/>
    <w:rsid w:val="00613862"/>
    <w:rsid w:val="00621600"/>
    <w:rsid w:val="006227DA"/>
    <w:rsid w:val="0062493A"/>
    <w:rsid w:val="006253A9"/>
    <w:rsid w:val="00627F67"/>
    <w:rsid w:val="00640846"/>
    <w:rsid w:val="00646183"/>
    <w:rsid w:val="006579E2"/>
    <w:rsid w:val="0066058A"/>
    <w:rsid w:val="006636FA"/>
    <w:rsid w:val="0067391E"/>
    <w:rsid w:val="00684422"/>
    <w:rsid w:val="00684585"/>
    <w:rsid w:val="00697677"/>
    <w:rsid w:val="006A0384"/>
    <w:rsid w:val="006A5315"/>
    <w:rsid w:val="006A7E17"/>
    <w:rsid w:val="006B04C5"/>
    <w:rsid w:val="006B2EC8"/>
    <w:rsid w:val="006B34E5"/>
    <w:rsid w:val="006B5C0B"/>
    <w:rsid w:val="006B6E58"/>
    <w:rsid w:val="006B7883"/>
    <w:rsid w:val="006C60CE"/>
    <w:rsid w:val="006D03D8"/>
    <w:rsid w:val="006D0517"/>
    <w:rsid w:val="006D3009"/>
    <w:rsid w:val="006D43B6"/>
    <w:rsid w:val="006D6C82"/>
    <w:rsid w:val="006E2B48"/>
    <w:rsid w:val="006E3CF7"/>
    <w:rsid w:val="006E4DB2"/>
    <w:rsid w:val="006F13CA"/>
    <w:rsid w:val="006F4567"/>
    <w:rsid w:val="006F691E"/>
    <w:rsid w:val="006F6F27"/>
    <w:rsid w:val="00700C18"/>
    <w:rsid w:val="0070389A"/>
    <w:rsid w:val="00703B02"/>
    <w:rsid w:val="00704D62"/>
    <w:rsid w:val="00704DCC"/>
    <w:rsid w:val="007063AE"/>
    <w:rsid w:val="00706598"/>
    <w:rsid w:val="0071479F"/>
    <w:rsid w:val="00720034"/>
    <w:rsid w:val="007342AF"/>
    <w:rsid w:val="00760963"/>
    <w:rsid w:val="0076318D"/>
    <w:rsid w:val="00765F29"/>
    <w:rsid w:val="00766209"/>
    <w:rsid w:val="00773B94"/>
    <w:rsid w:val="007766C2"/>
    <w:rsid w:val="00776EA0"/>
    <w:rsid w:val="00777327"/>
    <w:rsid w:val="0077777D"/>
    <w:rsid w:val="0078232A"/>
    <w:rsid w:val="007918E0"/>
    <w:rsid w:val="00795B8A"/>
    <w:rsid w:val="0079677C"/>
    <w:rsid w:val="007A06AD"/>
    <w:rsid w:val="007A096E"/>
    <w:rsid w:val="007A130F"/>
    <w:rsid w:val="007A2A16"/>
    <w:rsid w:val="007B58BE"/>
    <w:rsid w:val="007C0915"/>
    <w:rsid w:val="007C2241"/>
    <w:rsid w:val="007C3276"/>
    <w:rsid w:val="007C4AE1"/>
    <w:rsid w:val="007D3327"/>
    <w:rsid w:val="007D3B8F"/>
    <w:rsid w:val="007D53B4"/>
    <w:rsid w:val="007E0F89"/>
    <w:rsid w:val="007E6874"/>
    <w:rsid w:val="007E7A71"/>
    <w:rsid w:val="007F0E1E"/>
    <w:rsid w:val="007F188A"/>
    <w:rsid w:val="007F4E88"/>
    <w:rsid w:val="007F781C"/>
    <w:rsid w:val="0080080A"/>
    <w:rsid w:val="00812B91"/>
    <w:rsid w:val="00814FC9"/>
    <w:rsid w:val="00821779"/>
    <w:rsid w:val="00823223"/>
    <w:rsid w:val="008273B6"/>
    <w:rsid w:val="00827417"/>
    <w:rsid w:val="00830338"/>
    <w:rsid w:val="00834413"/>
    <w:rsid w:val="00835200"/>
    <w:rsid w:val="00837AC7"/>
    <w:rsid w:val="00841A02"/>
    <w:rsid w:val="00842A49"/>
    <w:rsid w:val="00845CD8"/>
    <w:rsid w:val="0085074F"/>
    <w:rsid w:val="00853F36"/>
    <w:rsid w:val="00854B93"/>
    <w:rsid w:val="0085557E"/>
    <w:rsid w:val="0085744D"/>
    <w:rsid w:val="008664D8"/>
    <w:rsid w:val="00867C6D"/>
    <w:rsid w:val="0087264B"/>
    <w:rsid w:val="00873F5B"/>
    <w:rsid w:val="00881DAA"/>
    <w:rsid w:val="008849CD"/>
    <w:rsid w:val="008873BD"/>
    <w:rsid w:val="0089026F"/>
    <w:rsid w:val="00894536"/>
    <w:rsid w:val="00896C84"/>
    <w:rsid w:val="00896EE1"/>
    <w:rsid w:val="008A0759"/>
    <w:rsid w:val="008A7944"/>
    <w:rsid w:val="008A7EC4"/>
    <w:rsid w:val="008B22FA"/>
    <w:rsid w:val="008B2D1A"/>
    <w:rsid w:val="008C07C3"/>
    <w:rsid w:val="008C0885"/>
    <w:rsid w:val="008C1400"/>
    <w:rsid w:val="008C1FD8"/>
    <w:rsid w:val="008C2EE4"/>
    <w:rsid w:val="008C6189"/>
    <w:rsid w:val="008C67DB"/>
    <w:rsid w:val="008C69DD"/>
    <w:rsid w:val="008D060C"/>
    <w:rsid w:val="008E0407"/>
    <w:rsid w:val="008E442E"/>
    <w:rsid w:val="008E6DB6"/>
    <w:rsid w:val="009000E0"/>
    <w:rsid w:val="009033BA"/>
    <w:rsid w:val="009071EF"/>
    <w:rsid w:val="00910328"/>
    <w:rsid w:val="00914EC5"/>
    <w:rsid w:val="009174C8"/>
    <w:rsid w:val="009229C6"/>
    <w:rsid w:val="00931BE5"/>
    <w:rsid w:val="00934956"/>
    <w:rsid w:val="00936AD2"/>
    <w:rsid w:val="009439E9"/>
    <w:rsid w:val="00952A9D"/>
    <w:rsid w:val="0095337F"/>
    <w:rsid w:val="009541F6"/>
    <w:rsid w:val="0095464B"/>
    <w:rsid w:val="0096092F"/>
    <w:rsid w:val="0096139E"/>
    <w:rsid w:val="00967909"/>
    <w:rsid w:val="00971C9F"/>
    <w:rsid w:val="009723DD"/>
    <w:rsid w:val="00974496"/>
    <w:rsid w:val="009840B9"/>
    <w:rsid w:val="009A0007"/>
    <w:rsid w:val="009A0012"/>
    <w:rsid w:val="009A2B13"/>
    <w:rsid w:val="009A4A60"/>
    <w:rsid w:val="009C01B1"/>
    <w:rsid w:val="009D6902"/>
    <w:rsid w:val="009E01FD"/>
    <w:rsid w:val="009E528D"/>
    <w:rsid w:val="009F056E"/>
    <w:rsid w:val="009F0C32"/>
    <w:rsid w:val="00A00287"/>
    <w:rsid w:val="00A01841"/>
    <w:rsid w:val="00A04D16"/>
    <w:rsid w:val="00A10341"/>
    <w:rsid w:val="00A13936"/>
    <w:rsid w:val="00A1421D"/>
    <w:rsid w:val="00A16F90"/>
    <w:rsid w:val="00A20A0F"/>
    <w:rsid w:val="00A22A66"/>
    <w:rsid w:val="00A4132C"/>
    <w:rsid w:val="00A417D0"/>
    <w:rsid w:val="00A424D5"/>
    <w:rsid w:val="00A542F4"/>
    <w:rsid w:val="00A553A7"/>
    <w:rsid w:val="00A656A3"/>
    <w:rsid w:val="00A6710B"/>
    <w:rsid w:val="00A6721C"/>
    <w:rsid w:val="00A67FAE"/>
    <w:rsid w:val="00A73054"/>
    <w:rsid w:val="00A751D1"/>
    <w:rsid w:val="00A75211"/>
    <w:rsid w:val="00A80669"/>
    <w:rsid w:val="00A809F1"/>
    <w:rsid w:val="00A8269D"/>
    <w:rsid w:val="00A83441"/>
    <w:rsid w:val="00A84089"/>
    <w:rsid w:val="00A87279"/>
    <w:rsid w:val="00A96900"/>
    <w:rsid w:val="00AC0595"/>
    <w:rsid w:val="00AC5A42"/>
    <w:rsid w:val="00AC78EB"/>
    <w:rsid w:val="00AD4656"/>
    <w:rsid w:val="00AD5B2F"/>
    <w:rsid w:val="00AE2C96"/>
    <w:rsid w:val="00AF5438"/>
    <w:rsid w:val="00B00C05"/>
    <w:rsid w:val="00B0477E"/>
    <w:rsid w:val="00B1145C"/>
    <w:rsid w:val="00B23651"/>
    <w:rsid w:val="00B2494F"/>
    <w:rsid w:val="00B24DC8"/>
    <w:rsid w:val="00B33318"/>
    <w:rsid w:val="00B36B68"/>
    <w:rsid w:val="00B4078F"/>
    <w:rsid w:val="00B432BF"/>
    <w:rsid w:val="00B4371D"/>
    <w:rsid w:val="00B439F4"/>
    <w:rsid w:val="00B46BD5"/>
    <w:rsid w:val="00B530F7"/>
    <w:rsid w:val="00B63A09"/>
    <w:rsid w:val="00B64380"/>
    <w:rsid w:val="00B67647"/>
    <w:rsid w:val="00B7140E"/>
    <w:rsid w:val="00B757B4"/>
    <w:rsid w:val="00B77007"/>
    <w:rsid w:val="00B80AFB"/>
    <w:rsid w:val="00B82162"/>
    <w:rsid w:val="00B9213C"/>
    <w:rsid w:val="00B93B58"/>
    <w:rsid w:val="00BA1CB1"/>
    <w:rsid w:val="00BA3817"/>
    <w:rsid w:val="00BA6D7E"/>
    <w:rsid w:val="00BB0003"/>
    <w:rsid w:val="00BB4015"/>
    <w:rsid w:val="00BC4BA6"/>
    <w:rsid w:val="00BC6D8E"/>
    <w:rsid w:val="00BD076F"/>
    <w:rsid w:val="00BD083A"/>
    <w:rsid w:val="00BD1F20"/>
    <w:rsid w:val="00BD2974"/>
    <w:rsid w:val="00BD3F17"/>
    <w:rsid w:val="00BD4359"/>
    <w:rsid w:val="00BD485B"/>
    <w:rsid w:val="00BD69DF"/>
    <w:rsid w:val="00BE0EB0"/>
    <w:rsid w:val="00BE5CD7"/>
    <w:rsid w:val="00BE6768"/>
    <w:rsid w:val="00BE7DE0"/>
    <w:rsid w:val="00BF1CE5"/>
    <w:rsid w:val="00BF5C1C"/>
    <w:rsid w:val="00BF7FC5"/>
    <w:rsid w:val="00C00691"/>
    <w:rsid w:val="00C01334"/>
    <w:rsid w:val="00C013FA"/>
    <w:rsid w:val="00C0473A"/>
    <w:rsid w:val="00C05E8D"/>
    <w:rsid w:val="00C152D2"/>
    <w:rsid w:val="00C16B4D"/>
    <w:rsid w:val="00C2097A"/>
    <w:rsid w:val="00C21F16"/>
    <w:rsid w:val="00C236FB"/>
    <w:rsid w:val="00C23CD7"/>
    <w:rsid w:val="00C24B04"/>
    <w:rsid w:val="00C2590F"/>
    <w:rsid w:val="00C31AC2"/>
    <w:rsid w:val="00C31E3F"/>
    <w:rsid w:val="00C33126"/>
    <w:rsid w:val="00C37DFF"/>
    <w:rsid w:val="00C40FDC"/>
    <w:rsid w:val="00C41B2F"/>
    <w:rsid w:val="00C44067"/>
    <w:rsid w:val="00C478C1"/>
    <w:rsid w:val="00C47F92"/>
    <w:rsid w:val="00C5292C"/>
    <w:rsid w:val="00C560AF"/>
    <w:rsid w:val="00C56B17"/>
    <w:rsid w:val="00C56C61"/>
    <w:rsid w:val="00C5776E"/>
    <w:rsid w:val="00C60365"/>
    <w:rsid w:val="00C6147B"/>
    <w:rsid w:val="00C71EB9"/>
    <w:rsid w:val="00C73719"/>
    <w:rsid w:val="00C74F09"/>
    <w:rsid w:val="00C7518C"/>
    <w:rsid w:val="00C762EC"/>
    <w:rsid w:val="00C82F1B"/>
    <w:rsid w:val="00C953B3"/>
    <w:rsid w:val="00CA0BFD"/>
    <w:rsid w:val="00CA3799"/>
    <w:rsid w:val="00CA4C20"/>
    <w:rsid w:val="00CB176D"/>
    <w:rsid w:val="00CB2E91"/>
    <w:rsid w:val="00CB4B53"/>
    <w:rsid w:val="00CB4D0E"/>
    <w:rsid w:val="00CB62EE"/>
    <w:rsid w:val="00CC1EB5"/>
    <w:rsid w:val="00CC7E38"/>
    <w:rsid w:val="00CD170C"/>
    <w:rsid w:val="00CD48C2"/>
    <w:rsid w:val="00CD4F2A"/>
    <w:rsid w:val="00CD719F"/>
    <w:rsid w:val="00CD7285"/>
    <w:rsid w:val="00CE285C"/>
    <w:rsid w:val="00CE5091"/>
    <w:rsid w:val="00CF1B05"/>
    <w:rsid w:val="00CF405D"/>
    <w:rsid w:val="00CF4776"/>
    <w:rsid w:val="00CF49B0"/>
    <w:rsid w:val="00D051FA"/>
    <w:rsid w:val="00D05FCA"/>
    <w:rsid w:val="00D06689"/>
    <w:rsid w:val="00D14438"/>
    <w:rsid w:val="00D20EFE"/>
    <w:rsid w:val="00D26028"/>
    <w:rsid w:val="00D31046"/>
    <w:rsid w:val="00D318EB"/>
    <w:rsid w:val="00D338B2"/>
    <w:rsid w:val="00D35568"/>
    <w:rsid w:val="00D43073"/>
    <w:rsid w:val="00D56914"/>
    <w:rsid w:val="00D5792C"/>
    <w:rsid w:val="00D63A3D"/>
    <w:rsid w:val="00D724AB"/>
    <w:rsid w:val="00D80656"/>
    <w:rsid w:val="00D80CCA"/>
    <w:rsid w:val="00D815F4"/>
    <w:rsid w:val="00D84AB3"/>
    <w:rsid w:val="00D85513"/>
    <w:rsid w:val="00D8721B"/>
    <w:rsid w:val="00D87B50"/>
    <w:rsid w:val="00D91067"/>
    <w:rsid w:val="00D959CF"/>
    <w:rsid w:val="00DA18D5"/>
    <w:rsid w:val="00DA448B"/>
    <w:rsid w:val="00DA7D6D"/>
    <w:rsid w:val="00DB5C51"/>
    <w:rsid w:val="00DC050F"/>
    <w:rsid w:val="00DC200B"/>
    <w:rsid w:val="00DC39E6"/>
    <w:rsid w:val="00DD00AD"/>
    <w:rsid w:val="00DD7767"/>
    <w:rsid w:val="00DD7F0A"/>
    <w:rsid w:val="00DF5E5A"/>
    <w:rsid w:val="00DF69BF"/>
    <w:rsid w:val="00E00C81"/>
    <w:rsid w:val="00E00CD5"/>
    <w:rsid w:val="00E02650"/>
    <w:rsid w:val="00E075BD"/>
    <w:rsid w:val="00E07A77"/>
    <w:rsid w:val="00E12DF0"/>
    <w:rsid w:val="00E1420E"/>
    <w:rsid w:val="00E1527B"/>
    <w:rsid w:val="00E209A0"/>
    <w:rsid w:val="00E24618"/>
    <w:rsid w:val="00E25038"/>
    <w:rsid w:val="00E33408"/>
    <w:rsid w:val="00E4234C"/>
    <w:rsid w:val="00E4408F"/>
    <w:rsid w:val="00E444AA"/>
    <w:rsid w:val="00E47F8A"/>
    <w:rsid w:val="00E47F90"/>
    <w:rsid w:val="00E50E20"/>
    <w:rsid w:val="00E52BA4"/>
    <w:rsid w:val="00E548D1"/>
    <w:rsid w:val="00E64975"/>
    <w:rsid w:val="00E67596"/>
    <w:rsid w:val="00E67AA7"/>
    <w:rsid w:val="00E71AA1"/>
    <w:rsid w:val="00E826A0"/>
    <w:rsid w:val="00E878AE"/>
    <w:rsid w:val="00E94159"/>
    <w:rsid w:val="00EA1C4A"/>
    <w:rsid w:val="00EB0C49"/>
    <w:rsid w:val="00EB3032"/>
    <w:rsid w:val="00EB5B5E"/>
    <w:rsid w:val="00EC7033"/>
    <w:rsid w:val="00ED1746"/>
    <w:rsid w:val="00ED1B90"/>
    <w:rsid w:val="00ED3973"/>
    <w:rsid w:val="00ED3BB4"/>
    <w:rsid w:val="00ED5715"/>
    <w:rsid w:val="00EF0DAC"/>
    <w:rsid w:val="00EF26EE"/>
    <w:rsid w:val="00F00B2C"/>
    <w:rsid w:val="00F04ED2"/>
    <w:rsid w:val="00F06763"/>
    <w:rsid w:val="00F148D6"/>
    <w:rsid w:val="00F15A19"/>
    <w:rsid w:val="00F16DA6"/>
    <w:rsid w:val="00F172FE"/>
    <w:rsid w:val="00F20137"/>
    <w:rsid w:val="00F221B9"/>
    <w:rsid w:val="00F277FB"/>
    <w:rsid w:val="00F3124B"/>
    <w:rsid w:val="00F32F0C"/>
    <w:rsid w:val="00F35541"/>
    <w:rsid w:val="00F36E6B"/>
    <w:rsid w:val="00F52665"/>
    <w:rsid w:val="00F530D6"/>
    <w:rsid w:val="00F60FD6"/>
    <w:rsid w:val="00F6280F"/>
    <w:rsid w:val="00F67146"/>
    <w:rsid w:val="00F72E62"/>
    <w:rsid w:val="00F7300E"/>
    <w:rsid w:val="00F75004"/>
    <w:rsid w:val="00F76694"/>
    <w:rsid w:val="00F81554"/>
    <w:rsid w:val="00F82790"/>
    <w:rsid w:val="00F82AFF"/>
    <w:rsid w:val="00F9344D"/>
    <w:rsid w:val="00F954E2"/>
    <w:rsid w:val="00F96B85"/>
    <w:rsid w:val="00F97EDB"/>
    <w:rsid w:val="00FB0AA0"/>
    <w:rsid w:val="00FB68F1"/>
    <w:rsid w:val="00FC2B2A"/>
    <w:rsid w:val="00FD026B"/>
    <w:rsid w:val="00FE1122"/>
    <w:rsid w:val="00FF1000"/>
    <w:rsid w:val="00FF43D5"/>
    <w:rsid w:val="00FF5A3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40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note reference" w:uiPriority="99"/>
    <w:lsdException w:name="annotation reference" w:uiPriority="99"/>
    <w:lsdException w:name="Strong" w:uiPriority="22" w:qFormat="1"/>
    <w:lsdException w:name="Normal (Web)" w:uiPriority="99"/>
    <w:lsdException w:name="List Paragraph" w:uiPriority="34" w:qFormat="1"/>
    <w:lsdException w:name="TOC Heading" w:uiPriority="39" w:qFormat="1"/>
  </w:latentStyles>
  <w:style w:type="paragraph" w:default="1" w:styleId="Normal">
    <w:name w:val="Normal"/>
    <w:qFormat/>
    <w:rsid w:val="00B2494F"/>
    <w:pPr>
      <w:spacing w:after="200" w:line="276" w:lineRule="auto"/>
    </w:pPr>
    <w:rPr>
      <w:rFonts w:eastAsiaTheme="minorHAnsi"/>
      <w:sz w:val="22"/>
      <w:szCs w:val="22"/>
      <w:lang w:val="en-AU" w:eastAsia="en-US"/>
    </w:rPr>
  </w:style>
  <w:style w:type="paragraph" w:styleId="Heading1">
    <w:name w:val="heading 1"/>
    <w:basedOn w:val="Normal"/>
    <w:next w:val="Normal"/>
    <w:link w:val="Heading1Char"/>
    <w:uiPriority w:val="9"/>
    <w:qFormat/>
    <w:rsid w:val="008664D8"/>
    <w:pPr>
      <w:keepNext/>
      <w:keepLines/>
      <w:numPr>
        <w:numId w:val="7"/>
      </w:numPr>
      <w:spacing w:before="48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8664D8"/>
    <w:pPr>
      <w:keepNext/>
      <w:keepLines/>
      <w:numPr>
        <w:ilvl w:val="1"/>
        <w:numId w:val="7"/>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64D8"/>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4D8"/>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664D8"/>
    <w:pPr>
      <w:keepNext/>
      <w:keepLines/>
      <w:numPr>
        <w:ilvl w:val="4"/>
        <w:numId w:val="7"/>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8664D8"/>
    <w:pPr>
      <w:keepNext/>
      <w:keepLines/>
      <w:numPr>
        <w:ilvl w:val="5"/>
        <w:numId w:val="7"/>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8664D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664D8"/>
    <w:pPr>
      <w:keepNext/>
      <w:keepLines/>
      <w:numPr>
        <w:ilvl w:val="7"/>
        <w:numId w:val="7"/>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8664D8"/>
    <w:pPr>
      <w:keepNext/>
      <w:keepLines/>
      <w:numPr>
        <w:ilvl w:val="8"/>
        <w:numId w:val="7"/>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D8"/>
    <w:rPr>
      <w:rFonts w:asciiTheme="majorHAnsi" w:eastAsiaTheme="majorEastAsia" w:hAnsiTheme="majorHAnsi" w:cstheme="majorBidi"/>
      <w:b/>
      <w:bCs/>
      <w:color w:val="365F91" w:themeColor="accent1" w:themeShade="BF"/>
      <w:sz w:val="32"/>
      <w:szCs w:val="32"/>
      <w:lang w:val="en-AU" w:eastAsia="en-US"/>
    </w:rPr>
  </w:style>
  <w:style w:type="character" w:customStyle="1" w:styleId="Heading2Char">
    <w:name w:val="Heading 2 Char"/>
    <w:basedOn w:val="DefaultParagraphFont"/>
    <w:link w:val="Heading2"/>
    <w:uiPriority w:val="9"/>
    <w:rsid w:val="008664D8"/>
    <w:rPr>
      <w:rFonts w:asciiTheme="majorHAnsi" w:eastAsiaTheme="majorEastAsia" w:hAnsiTheme="majorHAnsi" w:cstheme="majorBidi"/>
      <w:b/>
      <w:bCs/>
      <w:color w:val="365F91" w:themeColor="accent1" w:themeShade="BF"/>
      <w:sz w:val="26"/>
      <w:szCs w:val="26"/>
      <w:lang w:val="en-AU" w:eastAsia="en-US"/>
    </w:rPr>
  </w:style>
  <w:style w:type="character" w:customStyle="1" w:styleId="Heading3Char">
    <w:name w:val="Heading 3 Char"/>
    <w:basedOn w:val="DefaultParagraphFont"/>
    <w:link w:val="Heading3"/>
    <w:uiPriority w:val="9"/>
    <w:rsid w:val="008664D8"/>
    <w:rPr>
      <w:rFonts w:asciiTheme="majorHAnsi" w:eastAsiaTheme="majorEastAsia" w:hAnsiTheme="majorHAnsi" w:cstheme="majorBidi"/>
      <w:b/>
      <w:bCs/>
      <w:color w:val="4F81BD" w:themeColor="accent1"/>
      <w:sz w:val="22"/>
      <w:szCs w:val="22"/>
      <w:lang w:val="en-AU" w:eastAsia="en-US"/>
    </w:rPr>
  </w:style>
  <w:style w:type="character" w:customStyle="1" w:styleId="Heading4Char">
    <w:name w:val="Heading 4 Char"/>
    <w:basedOn w:val="DefaultParagraphFont"/>
    <w:link w:val="Heading4"/>
    <w:uiPriority w:val="9"/>
    <w:rsid w:val="008664D8"/>
    <w:rPr>
      <w:rFonts w:asciiTheme="majorHAnsi" w:eastAsiaTheme="majorEastAsia" w:hAnsiTheme="majorHAnsi" w:cstheme="majorBidi"/>
      <w:b/>
      <w:bCs/>
      <w:i/>
      <w:iCs/>
      <w:color w:val="4F81BD" w:themeColor="accent1"/>
      <w:sz w:val="22"/>
      <w:szCs w:val="22"/>
      <w:lang w:val="en-AU" w:eastAsia="en-US"/>
    </w:rPr>
  </w:style>
  <w:style w:type="character" w:customStyle="1" w:styleId="Heading5Char">
    <w:name w:val="Heading 5 Char"/>
    <w:basedOn w:val="DefaultParagraphFont"/>
    <w:link w:val="Heading5"/>
    <w:rsid w:val="008664D8"/>
    <w:rPr>
      <w:rFonts w:asciiTheme="majorHAnsi" w:eastAsiaTheme="majorEastAsia" w:hAnsiTheme="majorHAnsi" w:cstheme="majorBidi"/>
      <w:color w:val="244061" w:themeColor="accent1" w:themeShade="80"/>
      <w:sz w:val="22"/>
      <w:szCs w:val="22"/>
      <w:lang w:val="en-AU" w:eastAsia="en-US"/>
    </w:rPr>
  </w:style>
  <w:style w:type="character" w:customStyle="1" w:styleId="Heading6Char">
    <w:name w:val="Heading 6 Char"/>
    <w:basedOn w:val="DefaultParagraphFont"/>
    <w:link w:val="Heading6"/>
    <w:rsid w:val="008664D8"/>
    <w:rPr>
      <w:rFonts w:asciiTheme="majorHAnsi" w:eastAsiaTheme="majorEastAsia" w:hAnsiTheme="majorHAnsi" w:cstheme="majorBidi"/>
      <w:i/>
      <w:iCs/>
      <w:color w:val="244061" w:themeColor="accent1" w:themeShade="80"/>
      <w:sz w:val="22"/>
      <w:szCs w:val="22"/>
      <w:lang w:val="en-AU" w:eastAsia="en-US"/>
    </w:rPr>
  </w:style>
  <w:style w:type="character" w:customStyle="1" w:styleId="Heading7Char">
    <w:name w:val="Heading 7 Char"/>
    <w:basedOn w:val="DefaultParagraphFont"/>
    <w:link w:val="Heading7"/>
    <w:rsid w:val="008664D8"/>
    <w:rPr>
      <w:rFonts w:asciiTheme="majorHAnsi" w:eastAsiaTheme="majorEastAsia" w:hAnsiTheme="majorHAnsi" w:cstheme="majorBidi"/>
      <w:i/>
      <w:iCs/>
      <w:color w:val="404040" w:themeColor="text1" w:themeTint="BF"/>
      <w:sz w:val="22"/>
      <w:szCs w:val="22"/>
      <w:lang w:val="en-AU" w:eastAsia="en-US"/>
    </w:rPr>
  </w:style>
  <w:style w:type="character" w:customStyle="1" w:styleId="Heading8Char">
    <w:name w:val="Heading 8 Char"/>
    <w:basedOn w:val="DefaultParagraphFont"/>
    <w:link w:val="Heading8"/>
    <w:rsid w:val="008664D8"/>
    <w:rPr>
      <w:rFonts w:asciiTheme="majorHAnsi" w:eastAsiaTheme="majorEastAsia" w:hAnsiTheme="majorHAnsi" w:cstheme="majorBidi"/>
      <w:color w:val="363636" w:themeColor="text1" w:themeTint="C9"/>
      <w:sz w:val="20"/>
      <w:szCs w:val="20"/>
      <w:lang w:val="en-AU" w:eastAsia="en-US"/>
    </w:rPr>
  </w:style>
  <w:style w:type="character" w:customStyle="1" w:styleId="Heading9Char">
    <w:name w:val="Heading 9 Char"/>
    <w:basedOn w:val="DefaultParagraphFont"/>
    <w:link w:val="Heading9"/>
    <w:rsid w:val="008664D8"/>
    <w:rPr>
      <w:rFonts w:asciiTheme="majorHAnsi" w:eastAsiaTheme="majorEastAsia" w:hAnsiTheme="majorHAnsi" w:cstheme="majorBidi"/>
      <w:i/>
      <w:iCs/>
      <w:color w:val="363636" w:themeColor="text1" w:themeTint="C9"/>
      <w:sz w:val="20"/>
      <w:szCs w:val="20"/>
      <w:lang w:val="en-AU" w:eastAsia="en-US"/>
    </w:rPr>
  </w:style>
  <w:style w:type="paragraph" w:styleId="ListParagraph">
    <w:name w:val="List Paragraph"/>
    <w:basedOn w:val="Normal"/>
    <w:uiPriority w:val="34"/>
    <w:qFormat/>
    <w:rsid w:val="007D53B4"/>
    <w:pPr>
      <w:ind w:left="720"/>
      <w:contextualSpacing/>
    </w:pPr>
  </w:style>
  <w:style w:type="character" w:styleId="CommentReference">
    <w:name w:val="annotation reference"/>
    <w:basedOn w:val="DefaultParagraphFont"/>
    <w:uiPriority w:val="99"/>
    <w:semiHidden/>
    <w:unhideWhenUsed/>
    <w:rsid w:val="00CD7285"/>
    <w:rPr>
      <w:sz w:val="18"/>
      <w:szCs w:val="18"/>
    </w:rPr>
  </w:style>
  <w:style w:type="paragraph" w:styleId="CommentText">
    <w:name w:val="annotation text"/>
    <w:basedOn w:val="Normal"/>
    <w:link w:val="CommentTextChar"/>
    <w:uiPriority w:val="99"/>
    <w:semiHidden/>
    <w:unhideWhenUsed/>
    <w:rsid w:val="00CD7285"/>
  </w:style>
  <w:style w:type="character" w:customStyle="1" w:styleId="CommentTextChar">
    <w:name w:val="Comment Text Char"/>
    <w:basedOn w:val="DefaultParagraphFont"/>
    <w:link w:val="CommentText"/>
    <w:uiPriority w:val="99"/>
    <w:semiHidden/>
    <w:rsid w:val="00CD7285"/>
    <w:rPr>
      <w:sz w:val="24"/>
      <w:szCs w:val="24"/>
    </w:rPr>
  </w:style>
  <w:style w:type="paragraph" w:styleId="CommentSubject">
    <w:name w:val="annotation subject"/>
    <w:basedOn w:val="CommentText"/>
    <w:next w:val="CommentText"/>
    <w:link w:val="CommentSubjectChar"/>
    <w:uiPriority w:val="99"/>
    <w:semiHidden/>
    <w:unhideWhenUsed/>
    <w:rsid w:val="00CD7285"/>
    <w:rPr>
      <w:b/>
      <w:bCs/>
      <w:sz w:val="20"/>
      <w:szCs w:val="20"/>
    </w:rPr>
  </w:style>
  <w:style w:type="character" w:customStyle="1" w:styleId="CommentSubjectChar">
    <w:name w:val="Comment Subject Char"/>
    <w:basedOn w:val="CommentTextChar"/>
    <w:link w:val="CommentSubject"/>
    <w:uiPriority w:val="99"/>
    <w:semiHidden/>
    <w:rsid w:val="00CD7285"/>
    <w:rPr>
      <w:b/>
      <w:bCs/>
      <w:sz w:val="24"/>
      <w:szCs w:val="24"/>
    </w:rPr>
  </w:style>
  <w:style w:type="paragraph" w:styleId="BalloonText">
    <w:name w:val="Balloon Text"/>
    <w:basedOn w:val="Normal"/>
    <w:link w:val="BalloonTextChar"/>
    <w:uiPriority w:val="99"/>
    <w:semiHidden/>
    <w:unhideWhenUsed/>
    <w:rsid w:val="00CD7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285"/>
    <w:rPr>
      <w:rFonts w:ascii="Lucida Grande" w:hAnsi="Lucida Grande"/>
      <w:sz w:val="18"/>
      <w:szCs w:val="18"/>
    </w:rPr>
  </w:style>
  <w:style w:type="paragraph" w:styleId="FootnoteText">
    <w:name w:val="footnote text"/>
    <w:basedOn w:val="Normal"/>
    <w:link w:val="FootnoteTextChar"/>
    <w:uiPriority w:val="99"/>
    <w:unhideWhenUsed/>
    <w:rsid w:val="007766C2"/>
  </w:style>
  <w:style w:type="character" w:customStyle="1" w:styleId="FootnoteTextChar">
    <w:name w:val="Footnote Text Char"/>
    <w:basedOn w:val="DefaultParagraphFont"/>
    <w:link w:val="FootnoteText"/>
    <w:uiPriority w:val="99"/>
    <w:rsid w:val="007766C2"/>
    <w:rPr>
      <w:sz w:val="24"/>
      <w:szCs w:val="24"/>
    </w:rPr>
  </w:style>
  <w:style w:type="character" w:styleId="FootnoteReference">
    <w:name w:val="footnote reference"/>
    <w:basedOn w:val="DefaultParagraphFont"/>
    <w:uiPriority w:val="99"/>
    <w:unhideWhenUsed/>
    <w:rsid w:val="007766C2"/>
    <w:rPr>
      <w:vertAlign w:val="superscript"/>
    </w:rPr>
  </w:style>
  <w:style w:type="character" w:styleId="Hyperlink">
    <w:name w:val="Hyperlink"/>
    <w:basedOn w:val="DefaultParagraphFont"/>
    <w:uiPriority w:val="99"/>
    <w:rsid w:val="007766C2"/>
    <w:rPr>
      <w:color w:val="0000FF"/>
      <w:u w:val="single"/>
    </w:rPr>
  </w:style>
  <w:style w:type="paragraph" w:styleId="ListBullet">
    <w:name w:val="List Bullet"/>
    <w:basedOn w:val="Normal"/>
    <w:rsid w:val="00A417D0"/>
    <w:pPr>
      <w:numPr>
        <w:numId w:val="4"/>
      </w:numPr>
      <w:contextualSpacing/>
    </w:pPr>
  </w:style>
  <w:style w:type="paragraph" w:styleId="ListBullet2">
    <w:name w:val="List Bullet 2"/>
    <w:basedOn w:val="Normal"/>
    <w:rsid w:val="00A417D0"/>
    <w:pPr>
      <w:numPr>
        <w:numId w:val="5"/>
      </w:numPr>
      <w:contextualSpacing/>
    </w:pPr>
  </w:style>
  <w:style w:type="paragraph" w:styleId="Title">
    <w:name w:val="Title"/>
    <w:basedOn w:val="Normal"/>
    <w:next w:val="Normal"/>
    <w:link w:val="TitleChar"/>
    <w:rsid w:val="00EF26EE"/>
    <w:pPr>
      <w:pBdr>
        <w:bottom w:val="single" w:sz="8" w:space="4" w:color="4F81BD" w:themeColor="accent1"/>
      </w:pBdr>
      <w:spacing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rsid w:val="00EF26EE"/>
    <w:rPr>
      <w:rFonts w:asciiTheme="majorHAnsi" w:eastAsiaTheme="majorEastAsia" w:hAnsiTheme="majorHAnsi" w:cstheme="majorBidi"/>
      <w:color w:val="365F91" w:themeColor="accent1" w:themeShade="BF"/>
      <w:spacing w:val="5"/>
      <w:kern w:val="28"/>
      <w:sz w:val="52"/>
      <w:szCs w:val="52"/>
    </w:rPr>
  </w:style>
  <w:style w:type="character" w:customStyle="1" w:styleId="apple-converted-space">
    <w:name w:val="apple-converted-space"/>
    <w:basedOn w:val="DefaultParagraphFont"/>
    <w:rsid w:val="00B530F7"/>
  </w:style>
  <w:style w:type="character" w:customStyle="1" w:styleId="il">
    <w:name w:val="il"/>
    <w:basedOn w:val="DefaultParagraphFont"/>
    <w:rsid w:val="00B530F7"/>
  </w:style>
  <w:style w:type="paragraph" w:styleId="TOCHeading">
    <w:name w:val="TOC Heading"/>
    <w:basedOn w:val="Heading1"/>
    <w:next w:val="Normal"/>
    <w:uiPriority w:val="39"/>
    <w:unhideWhenUsed/>
    <w:qFormat/>
    <w:rsid w:val="00640846"/>
    <w:pPr>
      <w:numPr>
        <w:numId w:val="0"/>
      </w:numPr>
      <w:outlineLvl w:val="9"/>
    </w:pPr>
    <w:rPr>
      <w:sz w:val="28"/>
      <w:szCs w:val="28"/>
    </w:rPr>
  </w:style>
  <w:style w:type="paragraph" w:styleId="TOC1">
    <w:name w:val="toc 1"/>
    <w:basedOn w:val="Normal"/>
    <w:next w:val="Normal"/>
    <w:autoRedefine/>
    <w:uiPriority w:val="39"/>
    <w:rsid w:val="0043653C"/>
    <w:pPr>
      <w:spacing w:before="120" w:after="0"/>
    </w:pPr>
    <w:rPr>
      <w:b/>
      <w:sz w:val="24"/>
      <w:szCs w:val="24"/>
    </w:rPr>
  </w:style>
  <w:style w:type="paragraph" w:styleId="TOC2">
    <w:name w:val="toc 2"/>
    <w:basedOn w:val="Normal"/>
    <w:next w:val="Normal"/>
    <w:autoRedefine/>
    <w:uiPriority w:val="39"/>
    <w:rsid w:val="00640846"/>
    <w:pPr>
      <w:spacing w:after="0"/>
      <w:ind w:left="220"/>
    </w:pPr>
    <w:rPr>
      <w:b/>
    </w:rPr>
  </w:style>
  <w:style w:type="paragraph" w:styleId="TOC3">
    <w:name w:val="toc 3"/>
    <w:basedOn w:val="Normal"/>
    <w:next w:val="Normal"/>
    <w:autoRedefine/>
    <w:uiPriority w:val="39"/>
    <w:rsid w:val="006D03D8"/>
    <w:pPr>
      <w:spacing w:after="0"/>
      <w:ind w:left="440"/>
    </w:pPr>
  </w:style>
  <w:style w:type="paragraph" w:styleId="TOC4">
    <w:name w:val="toc 4"/>
    <w:basedOn w:val="Normal"/>
    <w:next w:val="Normal"/>
    <w:autoRedefine/>
    <w:uiPriority w:val="39"/>
    <w:rsid w:val="006D03D8"/>
    <w:pPr>
      <w:spacing w:after="0"/>
      <w:ind w:left="660"/>
    </w:pPr>
    <w:rPr>
      <w:sz w:val="20"/>
      <w:szCs w:val="20"/>
    </w:rPr>
  </w:style>
  <w:style w:type="paragraph" w:styleId="TOC5">
    <w:name w:val="toc 5"/>
    <w:basedOn w:val="Normal"/>
    <w:next w:val="Normal"/>
    <w:autoRedefine/>
    <w:uiPriority w:val="39"/>
    <w:rsid w:val="006D03D8"/>
    <w:pPr>
      <w:spacing w:after="0"/>
      <w:ind w:left="880"/>
    </w:pPr>
    <w:rPr>
      <w:sz w:val="20"/>
      <w:szCs w:val="20"/>
    </w:rPr>
  </w:style>
  <w:style w:type="character" w:styleId="FollowedHyperlink">
    <w:name w:val="FollowedHyperlink"/>
    <w:basedOn w:val="DefaultParagraphFont"/>
    <w:uiPriority w:val="99"/>
    <w:rsid w:val="00E12DF0"/>
    <w:rPr>
      <w:color w:val="800080" w:themeColor="followedHyperlink"/>
      <w:u w:val="single"/>
    </w:rPr>
  </w:style>
  <w:style w:type="paragraph" w:styleId="Revision">
    <w:name w:val="Revision"/>
    <w:hidden/>
    <w:rsid w:val="00DD00AD"/>
  </w:style>
  <w:style w:type="paragraph" w:customStyle="1" w:styleId="AARenouf-Body1">
    <w:name w:val="AA Renouf - Body 1"/>
    <w:basedOn w:val="Normal"/>
    <w:qFormat/>
    <w:rsid w:val="00A13936"/>
    <w:rPr>
      <w:rFonts w:asciiTheme="majorHAnsi" w:hAnsiTheme="majorHAnsi"/>
    </w:rPr>
  </w:style>
  <w:style w:type="paragraph" w:customStyle="1" w:styleId="AARenouf-Bullet1">
    <w:name w:val="AA Renouf - Bullet 1"/>
    <w:basedOn w:val="ListBullet"/>
    <w:qFormat/>
    <w:rsid w:val="00A13936"/>
    <w:pPr>
      <w:ind w:left="720"/>
    </w:pPr>
    <w:rPr>
      <w:rFonts w:asciiTheme="majorHAnsi" w:hAnsiTheme="majorHAnsi"/>
    </w:rPr>
  </w:style>
  <w:style w:type="paragraph" w:customStyle="1" w:styleId="AARenouf-Bodyquote">
    <w:name w:val="AA Renouf - Body quote"/>
    <w:basedOn w:val="AARenouf-Body1"/>
    <w:qFormat/>
    <w:rsid w:val="002B3DDB"/>
    <w:pPr>
      <w:ind w:left="720"/>
    </w:pPr>
    <w:rPr>
      <w:rFonts w:cs="Arial"/>
      <w:i/>
      <w:color w:val="000000"/>
    </w:rPr>
  </w:style>
  <w:style w:type="paragraph" w:customStyle="1" w:styleId="AARenouf-footnotes">
    <w:name w:val="AA Renouf - footnotes"/>
    <w:basedOn w:val="FootnoteText"/>
    <w:link w:val="AARenouf-footnotesChar"/>
    <w:qFormat/>
    <w:rsid w:val="003A300B"/>
    <w:rPr>
      <w:rFonts w:asciiTheme="majorHAnsi" w:hAnsiTheme="majorHAnsi"/>
      <w:sz w:val="16"/>
    </w:rPr>
  </w:style>
  <w:style w:type="character" w:customStyle="1" w:styleId="AARenouf-footnotesChar">
    <w:name w:val="AA Renouf - footnotes Char"/>
    <w:basedOn w:val="FootnoteTextChar"/>
    <w:link w:val="AARenouf-footnotes"/>
    <w:rsid w:val="003A300B"/>
    <w:rPr>
      <w:rFonts w:asciiTheme="majorHAnsi" w:hAnsiTheme="majorHAnsi"/>
      <w:sz w:val="16"/>
      <w:szCs w:val="24"/>
    </w:rPr>
  </w:style>
  <w:style w:type="paragraph" w:styleId="Header">
    <w:name w:val="header"/>
    <w:basedOn w:val="Normal"/>
    <w:link w:val="HeaderChar"/>
    <w:uiPriority w:val="99"/>
    <w:rsid w:val="008C1FD8"/>
    <w:pPr>
      <w:tabs>
        <w:tab w:val="center" w:pos="4320"/>
        <w:tab w:val="right" w:pos="8640"/>
      </w:tabs>
    </w:pPr>
  </w:style>
  <w:style w:type="character" w:customStyle="1" w:styleId="HeaderChar">
    <w:name w:val="Header Char"/>
    <w:basedOn w:val="DefaultParagraphFont"/>
    <w:link w:val="Header"/>
    <w:uiPriority w:val="99"/>
    <w:rsid w:val="008C1FD8"/>
  </w:style>
  <w:style w:type="paragraph" w:styleId="Footer">
    <w:name w:val="footer"/>
    <w:basedOn w:val="Normal"/>
    <w:link w:val="FooterChar"/>
    <w:rsid w:val="008C1FD8"/>
    <w:pPr>
      <w:tabs>
        <w:tab w:val="center" w:pos="4320"/>
        <w:tab w:val="right" w:pos="8640"/>
      </w:tabs>
    </w:pPr>
  </w:style>
  <w:style w:type="character" w:customStyle="1" w:styleId="FooterChar">
    <w:name w:val="Footer Char"/>
    <w:basedOn w:val="DefaultParagraphFont"/>
    <w:link w:val="Footer"/>
    <w:rsid w:val="008C1FD8"/>
  </w:style>
  <w:style w:type="character" w:styleId="PageNumber">
    <w:name w:val="page number"/>
    <w:basedOn w:val="DefaultParagraphFont"/>
    <w:rsid w:val="008C1FD8"/>
  </w:style>
  <w:style w:type="table" w:styleId="LightShading-Accent1">
    <w:name w:val="Light Shading Accent 1"/>
    <w:basedOn w:val="TableNormal"/>
    <w:uiPriority w:val="60"/>
    <w:rsid w:val="008C1FD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lockText">
    <w:name w:val="Block Text"/>
    <w:basedOn w:val="Normal"/>
    <w:rsid w:val="00540B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customStyle="1" w:styleId="AARenoufCasestudy">
    <w:name w:val="AA Renouf Case study"/>
    <w:basedOn w:val="AARenouf-Body1"/>
    <w:qFormat/>
    <w:rsid w:val="00042D06"/>
    <w:pPr>
      <w:pBdr>
        <w:top w:val="single" w:sz="4" w:space="1" w:color="auto"/>
        <w:left w:val="single" w:sz="4" w:space="4" w:color="auto"/>
        <w:bottom w:val="single" w:sz="4" w:space="1" w:color="auto"/>
        <w:right w:val="single" w:sz="4" w:space="4" w:color="auto"/>
      </w:pBdr>
      <w:shd w:val="pct10" w:color="auto" w:fill="auto"/>
      <w:ind w:left="567" w:right="560"/>
    </w:pPr>
  </w:style>
  <w:style w:type="table" w:styleId="TableGrid">
    <w:name w:val="Table Grid"/>
    <w:basedOn w:val="TableNormal"/>
    <w:rsid w:val="00E07A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8E6DB6"/>
    <w:pPr>
      <w:spacing w:after="0"/>
      <w:ind w:left="1100"/>
    </w:pPr>
    <w:rPr>
      <w:sz w:val="20"/>
      <w:szCs w:val="20"/>
    </w:rPr>
  </w:style>
  <w:style w:type="paragraph" w:styleId="TOC7">
    <w:name w:val="toc 7"/>
    <w:basedOn w:val="Normal"/>
    <w:next w:val="Normal"/>
    <w:autoRedefine/>
    <w:uiPriority w:val="39"/>
    <w:unhideWhenUsed/>
    <w:rsid w:val="008E6DB6"/>
    <w:pPr>
      <w:spacing w:after="0"/>
      <w:ind w:left="1320"/>
    </w:pPr>
    <w:rPr>
      <w:sz w:val="20"/>
      <w:szCs w:val="20"/>
    </w:rPr>
  </w:style>
  <w:style w:type="paragraph" w:styleId="TOC8">
    <w:name w:val="toc 8"/>
    <w:basedOn w:val="Normal"/>
    <w:next w:val="Normal"/>
    <w:autoRedefine/>
    <w:uiPriority w:val="39"/>
    <w:unhideWhenUsed/>
    <w:rsid w:val="008E6DB6"/>
    <w:pPr>
      <w:spacing w:after="0"/>
      <w:ind w:left="1540"/>
    </w:pPr>
    <w:rPr>
      <w:sz w:val="20"/>
      <w:szCs w:val="20"/>
    </w:rPr>
  </w:style>
  <w:style w:type="paragraph" w:styleId="TOC9">
    <w:name w:val="toc 9"/>
    <w:basedOn w:val="Normal"/>
    <w:next w:val="Normal"/>
    <w:autoRedefine/>
    <w:uiPriority w:val="39"/>
    <w:unhideWhenUsed/>
    <w:rsid w:val="008E6DB6"/>
    <w:pPr>
      <w:spacing w:after="0"/>
      <w:ind w:left="1760"/>
    </w:pPr>
    <w:rPr>
      <w:sz w:val="20"/>
      <w:szCs w:val="20"/>
    </w:rPr>
  </w:style>
  <w:style w:type="paragraph" w:styleId="NormalWeb">
    <w:name w:val="Normal (Web)"/>
    <w:basedOn w:val="Normal"/>
    <w:uiPriority w:val="99"/>
    <w:unhideWhenUsed/>
    <w:rsid w:val="00B2494F"/>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2494F"/>
    <w:rPr>
      <w:b/>
      <w:bCs/>
    </w:rPr>
  </w:style>
  <w:style w:type="numbering" w:styleId="111111">
    <w:name w:val="Outline List 2"/>
    <w:basedOn w:val="NoList"/>
    <w:rsid w:val="00C152D2"/>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note reference" w:uiPriority="99"/>
    <w:lsdException w:name="annotation reference" w:uiPriority="99"/>
    <w:lsdException w:name="Strong" w:uiPriority="22" w:qFormat="1"/>
    <w:lsdException w:name="Normal (Web)" w:uiPriority="99"/>
    <w:lsdException w:name="List Paragraph" w:uiPriority="34" w:qFormat="1"/>
    <w:lsdException w:name="TOC Heading" w:uiPriority="39" w:qFormat="1"/>
  </w:latentStyles>
  <w:style w:type="paragraph" w:default="1" w:styleId="Normal">
    <w:name w:val="Normal"/>
    <w:qFormat/>
    <w:rsid w:val="00B2494F"/>
    <w:pPr>
      <w:spacing w:after="200" w:line="276" w:lineRule="auto"/>
    </w:pPr>
    <w:rPr>
      <w:rFonts w:eastAsiaTheme="minorHAnsi"/>
      <w:sz w:val="22"/>
      <w:szCs w:val="22"/>
      <w:lang w:val="en-AU" w:eastAsia="en-US"/>
    </w:rPr>
  </w:style>
  <w:style w:type="paragraph" w:styleId="Heading1">
    <w:name w:val="heading 1"/>
    <w:basedOn w:val="Normal"/>
    <w:next w:val="Normal"/>
    <w:link w:val="Heading1Char"/>
    <w:uiPriority w:val="9"/>
    <w:qFormat/>
    <w:rsid w:val="008664D8"/>
    <w:pPr>
      <w:keepNext/>
      <w:keepLines/>
      <w:numPr>
        <w:numId w:val="7"/>
      </w:numPr>
      <w:spacing w:before="48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8664D8"/>
    <w:pPr>
      <w:keepNext/>
      <w:keepLines/>
      <w:numPr>
        <w:ilvl w:val="1"/>
        <w:numId w:val="7"/>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64D8"/>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4D8"/>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664D8"/>
    <w:pPr>
      <w:keepNext/>
      <w:keepLines/>
      <w:numPr>
        <w:ilvl w:val="4"/>
        <w:numId w:val="7"/>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8664D8"/>
    <w:pPr>
      <w:keepNext/>
      <w:keepLines/>
      <w:numPr>
        <w:ilvl w:val="5"/>
        <w:numId w:val="7"/>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8664D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664D8"/>
    <w:pPr>
      <w:keepNext/>
      <w:keepLines/>
      <w:numPr>
        <w:ilvl w:val="7"/>
        <w:numId w:val="7"/>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8664D8"/>
    <w:pPr>
      <w:keepNext/>
      <w:keepLines/>
      <w:numPr>
        <w:ilvl w:val="8"/>
        <w:numId w:val="7"/>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D8"/>
    <w:rPr>
      <w:rFonts w:asciiTheme="majorHAnsi" w:eastAsiaTheme="majorEastAsia" w:hAnsiTheme="majorHAnsi" w:cstheme="majorBidi"/>
      <w:b/>
      <w:bCs/>
      <w:color w:val="365F91" w:themeColor="accent1" w:themeShade="BF"/>
      <w:sz w:val="32"/>
      <w:szCs w:val="32"/>
      <w:lang w:val="en-AU" w:eastAsia="en-US"/>
    </w:rPr>
  </w:style>
  <w:style w:type="character" w:customStyle="1" w:styleId="Heading2Char">
    <w:name w:val="Heading 2 Char"/>
    <w:basedOn w:val="DefaultParagraphFont"/>
    <w:link w:val="Heading2"/>
    <w:uiPriority w:val="9"/>
    <w:rsid w:val="008664D8"/>
    <w:rPr>
      <w:rFonts w:asciiTheme="majorHAnsi" w:eastAsiaTheme="majorEastAsia" w:hAnsiTheme="majorHAnsi" w:cstheme="majorBidi"/>
      <w:b/>
      <w:bCs/>
      <w:color w:val="365F91" w:themeColor="accent1" w:themeShade="BF"/>
      <w:sz w:val="26"/>
      <w:szCs w:val="26"/>
      <w:lang w:val="en-AU" w:eastAsia="en-US"/>
    </w:rPr>
  </w:style>
  <w:style w:type="character" w:customStyle="1" w:styleId="Heading3Char">
    <w:name w:val="Heading 3 Char"/>
    <w:basedOn w:val="DefaultParagraphFont"/>
    <w:link w:val="Heading3"/>
    <w:uiPriority w:val="9"/>
    <w:rsid w:val="008664D8"/>
    <w:rPr>
      <w:rFonts w:asciiTheme="majorHAnsi" w:eastAsiaTheme="majorEastAsia" w:hAnsiTheme="majorHAnsi" w:cstheme="majorBidi"/>
      <w:b/>
      <w:bCs/>
      <w:color w:val="4F81BD" w:themeColor="accent1"/>
      <w:sz w:val="22"/>
      <w:szCs w:val="22"/>
      <w:lang w:val="en-AU" w:eastAsia="en-US"/>
    </w:rPr>
  </w:style>
  <w:style w:type="character" w:customStyle="1" w:styleId="Heading4Char">
    <w:name w:val="Heading 4 Char"/>
    <w:basedOn w:val="DefaultParagraphFont"/>
    <w:link w:val="Heading4"/>
    <w:uiPriority w:val="9"/>
    <w:rsid w:val="008664D8"/>
    <w:rPr>
      <w:rFonts w:asciiTheme="majorHAnsi" w:eastAsiaTheme="majorEastAsia" w:hAnsiTheme="majorHAnsi" w:cstheme="majorBidi"/>
      <w:b/>
      <w:bCs/>
      <w:i/>
      <w:iCs/>
      <w:color w:val="4F81BD" w:themeColor="accent1"/>
      <w:sz w:val="22"/>
      <w:szCs w:val="22"/>
      <w:lang w:val="en-AU" w:eastAsia="en-US"/>
    </w:rPr>
  </w:style>
  <w:style w:type="character" w:customStyle="1" w:styleId="Heading5Char">
    <w:name w:val="Heading 5 Char"/>
    <w:basedOn w:val="DefaultParagraphFont"/>
    <w:link w:val="Heading5"/>
    <w:rsid w:val="008664D8"/>
    <w:rPr>
      <w:rFonts w:asciiTheme="majorHAnsi" w:eastAsiaTheme="majorEastAsia" w:hAnsiTheme="majorHAnsi" w:cstheme="majorBidi"/>
      <w:color w:val="244061" w:themeColor="accent1" w:themeShade="80"/>
      <w:sz w:val="22"/>
      <w:szCs w:val="22"/>
      <w:lang w:val="en-AU" w:eastAsia="en-US"/>
    </w:rPr>
  </w:style>
  <w:style w:type="character" w:customStyle="1" w:styleId="Heading6Char">
    <w:name w:val="Heading 6 Char"/>
    <w:basedOn w:val="DefaultParagraphFont"/>
    <w:link w:val="Heading6"/>
    <w:rsid w:val="008664D8"/>
    <w:rPr>
      <w:rFonts w:asciiTheme="majorHAnsi" w:eastAsiaTheme="majorEastAsia" w:hAnsiTheme="majorHAnsi" w:cstheme="majorBidi"/>
      <w:i/>
      <w:iCs/>
      <w:color w:val="244061" w:themeColor="accent1" w:themeShade="80"/>
      <w:sz w:val="22"/>
      <w:szCs w:val="22"/>
      <w:lang w:val="en-AU" w:eastAsia="en-US"/>
    </w:rPr>
  </w:style>
  <w:style w:type="character" w:customStyle="1" w:styleId="Heading7Char">
    <w:name w:val="Heading 7 Char"/>
    <w:basedOn w:val="DefaultParagraphFont"/>
    <w:link w:val="Heading7"/>
    <w:rsid w:val="008664D8"/>
    <w:rPr>
      <w:rFonts w:asciiTheme="majorHAnsi" w:eastAsiaTheme="majorEastAsia" w:hAnsiTheme="majorHAnsi" w:cstheme="majorBidi"/>
      <w:i/>
      <w:iCs/>
      <w:color w:val="404040" w:themeColor="text1" w:themeTint="BF"/>
      <w:sz w:val="22"/>
      <w:szCs w:val="22"/>
      <w:lang w:val="en-AU" w:eastAsia="en-US"/>
    </w:rPr>
  </w:style>
  <w:style w:type="character" w:customStyle="1" w:styleId="Heading8Char">
    <w:name w:val="Heading 8 Char"/>
    <w:basedOn w:val="DefaultParagraphFont"/>
    <w:link w:val="Heading8"/>
    <w:rsid w:val="008664D8"/>
    <w:rPr>
      <w:rFonts w:asciiTheme="majorHAnsi" w:eastAsiaTheme="majorEastAsia" w:hAnsiTheme="majorHAnsi" w:cstheme="majorBidi"/>
      <w:color w:val="363636" w:themeColor="text1" w:themeTint="C9"/>
      <w:sz w:val="20"/>
      <w:szCs w:val="20"/>
      <w:lang w:val="en-AU" w:eastAsia="en-US"/>
    </w:rPr>
  </w:style>
  <w:style w:type="character" w:customStyle="1" w:styleId="Heading9Char">
    <w:name w:val="Heading 9 Char"/>
    <w:basedOn w:val="DefaultParagraphFont"/>
    <w:link w:val="Heading9"/>
    <w:rsid w:val="008664D8"/>
    <w:rPr>
      <w:rFonts w:asciiTheme="majorHAnsi" w:eastAsiaTheme="majorEastAsia" w:hAnsiTheme="majorHAnsi" w:cstheme="majorBidi"/>
      <w:i/>
      <w:iCs/>
      <w:color w:val="363636" w:themeColor="text1" w:themeTint="C9"/>
      <w:sz w:val="20"/>
      <w:szCs w:val="20"/>
      <w:lang w:val="en-AU" w:eastAsia="en-US"/>
    </w:rPr>
  </w:style>
  <w:style w:type="paragraph" w:styleId="ListParagraph">
    <w:name w:val="List Paragraph"/>
    <w:basedOn w:val="Normal"/>
    <w:uiPriority w:val="34"/>
    <w:qFormat/>
    <w:rsid w:val="007D53B4"/>
    <w:pPr>
      <w:ind w:left="720"/>
      <w:contextualSpacing/>
    </w:pPr>
  </w:style>
  <w:style w:type="character" w:styleId="CommentReference">
    <w:name w:val="annotation reference"/>
    <w:basedOn w:val="DefaultParagraphFont"/>
    <w:uiPriority w:val="99"/>
    <w:semiHidden/>
    <w:unhideWhenUsed/>
    <w:rsid w:val="00CD7285"/>
    <w:rPr>
      <w:sz w:val="18"/>
      <w:szCs w:val="18"/>
    </w:rPr>
  </w:style>
  <w:style w:type="paragraph" w:styleId="CommentText">
    <w:name w:val="annotation text"/>
    <w:basedOn w:val="Normal"/>
    <w:link w:val="CommentTextChar"/>
    <w:uiPriority w:val="99"/>
    <w:semiHidden/>
    <w:unhideWhenUsed/>
    <w:rsid w:val="00CD7285"/>
  </w:style>
  <w:style w:type="character" w:customStyle="1" w:styleId="CommentTextChar">
    <w:name w:val="Comment Text Char"/>
    <w:basedOn w:val="DefaultParagraphFont"/>
    <w:link w:val="CommentText"/>
    <w:uiPriority w:val="99"/>
    <w:semiHidden/>
    <w:rsid w:val="00CD7285"/>
    <w:rPr>
      <w:sz w:val="24"/>
      <w:szCs w:val="24"/>
    </w:rPr>
  </w:style>
  <w:style w:type="paragraph" w:styleId="CommentSubject">
    <w:name w:val="annotation subject"/>
    <w:basedOn w:val="CommentText"/>
    <w:next w:val="CommentText"/>
    <w:link w:val="CommentSubjectChar"/>
    <w:uiPriority w:val="99"/>
    <w:semiHidden/>
    <w:unhideWhenUsed/>
    <w:rsid w:val="00CD7285"/>
    <w:rPr>
      <w:b/>
      <w:bCs/>
      <w:sz w:val="20"/>
      <w:szCs w:val="20"/>
    </w:rPr>
  </w:style>
  <w:style w:type="character" w:customStyle="1" w:styleId="CommentSubjectChar">
    <w:name w:val="Comment Subject Char"/>
    <w:basedOn w:val="CommentTextChar"/>
    <w:link w:val="CommentSubject"/>
    <w:uiPriority w:val="99"/>
    <w:semiHidden/>
    <w:rsid w:val="00CD7285"/>
    <w:rPr>
      <w:b/>
      <w:bCs/>
      <w:sz w:val="24"/>
      <w:szCs w:val="24"/>
    </w:rPr>
  </w:style>
  <w:style w:type="paragraph" w:styleId="BalloonText">
    <w:name w:val="Balloon Text"/>
    <w:basedOn w:val="Normal"/>
    <w:link w:val="BalloonTextChar"/>
    <w:uiPriority w:val="99"/>
    <w:semiHidden/>
    <w:unhideWhenUsed/>
    <w:rsid w:val="00CD7285"/>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285"/>
    <w:rPr>
      <w:rFonts w:ascii="Lucida Grande" w:hAnsi="Lucida Grande"/>
      <w:sz w:val="18"/>
      <w:szCs w:val="18"/>
    </w:rPr>
  </w:style>
  <w:style w:type="paragraph" w:styleId="FootnoteText">
    <w:name w:val="footnote text"/>
    <w:basedOn w:val="Normal"/>
    <w:link w:val="FootnoteTextChar"/>
    <w:uiPriority w:val="99"/>
    <w:unhideWhenUsed/>
    <w:rsid w:val="007766C2"/>
  </w:style>
  <w:style w:type="character" w:customStyle="1" w:styleId="FootnoteTextChar">
    <w:name w:val="Footnote Text Char"/>
    <w:basedOn w:val="DefaultParagraphFont"/>
    <w:link w:val="FootnoteText"/>
    <w:uiPriority w:val="99"/>
    <w:rsid w:val="007766C2"/>
    <w:rPr>
      <w:sz w:val="24"/>
      <w:szCs w:val="24"/>
    </w:rPr>
  </w:style>
  <w:style w:type="character" w:styleId="FootnoteReference">
    <w:name w:val="footnote reference"/>
    <w:basedOn w:val="DefaultParagraphFont"/>
    <w:uiPriority w:val="99"/>
    <w:unhideWhenUsed/>
    <w:rsid w:val="007766C2"/>
    <w:rPr>
      <w:vertAlign w:val="superscript"/>
    </w:rPr>
  </w:style>
  <w:style w:type="character" w:styleId="Hyperlink">
    <w:name w:val="Hyperlink"/>
    <w:basedOn w:val="DefaultParagraphFont"/>
    <w:uiPriority w:val="99"/>
    <w:rsid w:val="007766C2"/>
    <w:rPr>
      <w:color w:val="0000FF"/>
      <w:u w:val="single"/>
    </w:rPr>
  </w:style>
  <w:style w:type="paragraph" w:styleId="ListBullet">
    <w:name w:val="List Bullet"/>
    <w:basedOn w:val="Normal"/>
    <w:rsid w:val="00A417D0"/>
    <w:pPr>
      <w:numPr>
        <w:numId w:val="4"/>
      </w:numPr>
      <w:contextualSpacing/>
    </w:pPr>
  </w:style>
  <w:style w:type="paragraph" w:styleId="ListBullet2">
    <w:name w:val="List Bullet 2"/>
    <w:basedOn w:val="Normal"/>
    <w:rsid w:val="00A417D0"/>
    <w:pPr>
      <w:numPr>
        <w:numId w:val="5"/>
      </w:numPr>
      <w:contextualSpacing/>
    </w:pPr>
  </w:style>
  <w:style w:type="paragraph" w:styleId="Title">
    <w:name w:val="Title"/>
    <w:basedOn w:val="Normal"/>
    <w:next w:val="Normal"/>
    <w:link w:val="TitleChar"/>
    <w:rsid w:val="00EF26EE"/>
    <w:pPr>
      <w:pBdr>
        <w:bottom w:val="single" w:sz="8" w:space="4" w:color="4F81BD" w:themeColor="accent1"/>
      </w:pBdr>
      <w:spacing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rsid w:val="00EF26EE"/>
    <w:rPr>
      <w:rFonts w:asciiTheme="majorHAnsi" w:eastAsiaTheme="majorEastAsia" w:hAnsiTheme="majorHAnsi" w:cstheme="majorBidi"/>
      <w:color w:val="365F91" w:themeColor="accent1" w:themeShade="BF"/>
      <w:spacing w:val="5"/>
      <w:kern w:val="28"/>
      <w:sz w:val="52"/>
      <w:szCs w:val="52"/>
    </w:rPr>
  </w:style>
  <w:style w:type="character" w:customStyle="1" w:styleId="apple-converted-space">
    <w:name w:val="apple-converted-space"/>
    <w:basedOn w:val="DefaultParagraphFont"/>
    <w:rsid w:val="00B530F7"/>
  </w:style>
  <w:style w:type="character" w:customStyle="1" w:styleId="il">
    <w:name w:val="il"/>
    <w:basedOn w:val="DefaultParagraphFont"/>
    <w:rsid w:val="00B530F7"/>
  </w:style>
  <w:style w:type="paragraph" w:styleId="TOCHeading">
    <w:name w:val="TOC Heading"/>
    <w:basedOn w:val="Heading1"/>
    <w:next w:val="Normal"/>
    <w:uiPriority w:val="39"/>
    <w:unhideWhenUsed/>
    <w:qFormat/>
    <w:rsid w:val="00640846"/>
    <w:pPr>
      <w:numPr>
        <w:numId w:val="0"/>
      </w:numPr>
      <w:outlineLvl w:val="9"/>
    </w:pPr>
    <w:rPr>
      <w:sz w:val="28"/>
      <w:szCs w:val="28"/>
    </w:rPr>
  </w:style>
  <w:style w:type="paragraph" w:styleId="TOC1">
    <w:name w:val="toc 1"/>
    <w:basedOn w:val="Normal"/>
    <w:next w:val="Normal"/>
    <w:autoRedefine/>
    <w:uiPriority w:val="39"/>
    <w:rsid w:val="0043653C"/>
    <w:pPr>
      <w:spacing w:before="120" w:after="0"/>
    </w:pPr>
    <w:rPr>
      <w:b/>
      <w:sz w:val="24"/>
      <w:szCs w:val="24"/>
    </w:rPr>
  </w:style>
  <w:style w:type="paragraph" w:styleId="TOC2">
    <w:name w:val="toc 2"/>
    <w:basedOn w:val="Normal"/>
    <w:next w:val="Normal"/>
    <w:autoRedefine/>
    <w:uiPriority w:val="39"/>
    <w:rsid w:val="00640846"/>
    <w:pPr>
      <w:spacing w:after="0"/>
      <w:ind w:left="220"/>
    </w:pPr>
    <w:rPr>
      <w:b/>
    </w:rPr>
  </w:style>
  <w:style w:type="paragraph" w:styleId="TOC3">
    <w:name w:val="toc 3"/>
    <w:basedOn w:val="Normal"/>
    <w:next w:val="Normal"/>
    <w:autoRedefine/>
    <w:uiPriority w:val="39"/>
    <w:rsid w:val="006D03D8"/>
    <w:pPr>
      <w:spacing w:after="0"/>
      <w:ind w:left="440"/>
    </w:pPr>
  </w:style>
  <w:style w:type="paragraph" w:styleId="TOC4">
    <w:name w:val="toc 4"/>
    <w:basedOn w:val="Normal"/>
    <w:next w:val="Normal"/>
    <w:autoRedefine/>
    <w:uiPriority w:val="39"/>
    <w:rsid w:val="006D03D8"/>
    <w:pPr>
      <w:spacing w:after="0"/>
      <w:ind w:left="660"/>
    </w:pPr>
    <w:rPr>
      <w:sz w:val="20"/>
      <w:szCs w:val="20"/>
    </w:rPr>
  </w:style>
  <w:style w:type="paragraph" w:styleId="TOC5">
    <w:name w:val="toc 5"/>
    <w:basedOn w:val="Normal"/>
    <w:next w:val="Normal"/>
    <w:autoRedefine/>
    <w:uiPriority w:val="39"/>
    <w:rsid w:val="006D03D8"/>
    <w:pPr>
      <w:spacing w:after="0"/>
      <w:ind w:left="880"/>
    </w:pPr>
    <w:rPr>
      <w:sz w:val="20"/>
      <w:szCs w:val="20"/>
    </w:rPr>
  </w:style>
  <w:style w:type="character" w:styleId="FollowedHyperlink">
    <w:name w:val="FollowedHyperlink"/>
    <w:basedOn w:val="DefaultParagraphFont"/>
    <w:uiPriority w:val="99"/>
    <w:rsid w:val="00E12DF0"/>
    <w:rPr>
      <w:color w:val="800080" w:themeColor="followedHyperlink"/>
      <w:u w:val="single"/>
    </w:rPr>
  </w:style>
  <w:style w:type="paragraph" w:styleId="Revision">
    <w:name w:val="Revision"/>
    <w:hidden/>
    <w:rsid w:val="00DD00AD"/>
  </w:style>
  <w:style w:type="paragraph" w:customStyle="1" w:styleId="AARenouf-Body1">
    <w:name w:val="AA Renouf - Body 1"/>
    <w:basedOn w:val="Normal"/>
    <w:qFormat/>
    <w:rsid w:val="00A13936"/>
    <w:rPr>
      <w:rFonts w:asciiTheme="majorHAnsi" w:hAnsiTheme="majorHAnsi"/>
    </w:rPr>
  </w:style>
  <w:style w:type="paragraph" w:customStyle="1" w:styleId="AARenouf-Bullet1">
    <w:name w:val="AA Renouf - Bullet 1"/>
    <w:basedOn w:val="ListBullet"/>
    <w:qFormat/>
    <w:rsid w:val="00A13936"/>
    <w:pPr>
      <w:ind w:left="720"/>
    </w:pPr>
    <w:rPr>
      <w:rFonts w:asciiTheme="majorHAnsi" w:hAnsiTheme="majorHAnsi"/>
    </w:rPr>
  </w:style>
  <w:style w:type="paragraph" w:customStyle="1" w:styleId="AARenouf-Bodyquote">
    <w:name w:val="AA Renouf - Body quote"/>
    <w:basedOn w:val="AARenouf-Body1"/>
    <w:qFormat/>
    <w:rsid w:val="002B3DDB"/>
    <w:pPr>
      <w:ind w:left="720"/>
    </w:pPr>
    <w:rPr>
      <w:rFonts w:cs="Arial"/>
      <w:i/>
      <w:color w:val="000000"/>
    </w:rPr>
  </w:style>
  <w:style w:type="paragraph" w:customStyle="1" w:styleId="AARenouf-footnotes">
    <w:name w:val="AA Renouf - footnotes"/>
    <w:basedOn w:val="FootnoteText"/>
    <w:link w:val="AARenouf-footnotesChar"/>
    <w:qFormat/>
    <w:rsid w:val="003A300B"/>
    <w:rPr>
      <w:rFonts w:asciiTheme="majorHAnsi" w:hAnsiTheme="majorHAnsi"/>
      <w:sz w:val="16"/>
    </w:rPr>
  </w:style>
  <w:style w:type="character" w:customStyle="1" w:styleId="AARenouf-footnotesChar">
    <w:name w:val="AA Renouf - footnotes Char"/>
    <w:basedOn w:val="FootnoteTextChar"/>
    <w:link w:val="AARenouf-footnotes"/>
    <w:rsid w:val="003A300B"/>
    <w:rPr>
      <w:rFonts w:asciiTheme="majorHAnsi" w:hAnsiTheme="majorHAnsi"/>
      <w:sz w:val="16"/>
      <w:szCs w:val="24"/>
    </w:rPr>
  </w:style>
  <w:style w:type="paragraph" w:styleId="Header">
    <w:name w:val="header"/>
    <w:basedOn w:val="Normal"/>
    <w:link w:val="HeaderChar"/>
    <w:uiPriority w:val="99"/>
    <w:rsid w:val="008C1FD8"/>
    <w:pPr>
      <w:tabs>
        <w:tab w:val="center" w:pos="4320"/>
        <w:tab w:val="right" w:pos="8640"/>
      </w:tabs>
    </w:pPr>
  </w:style>
  <w:style w:type="character" w:customStyle="1" w:styleId="HeaderChar">
    <w:name w:val="Header Char"/>
    <w:basedOn w:val="DefaultParagraphFont"/>
    <w:link w:val="Header"/>
    <w:uiPriority w:val="99"/>
    <w:rsid w:val="008C1FD8"/>
  </w:style>
  <w:style w:type="paragraph" w:styleId="Footer">
    <w:name w:val="footer"/>
    <w:basedOn w:val="Normal"/>
    <w:link w:val="FooterChar"/>
    <w:rsid w:val="008C1FD8"/>
    <w:pPr>
      <w:tabs>
        <w:tab w:val="center" w:pos="4320"/>
        <w:tab w:val="right" w:pos="8640"/>
      </w:tabs>
    </w:pPr>
  </w:style>
  <w:style w:type="character" w:customStyle="1" w:styleId="FooterChar">
    <w:name w:val="Footer Char"/>
    <w:basedOn w:val="DefaultParagraphFont"/>
    <w:link w:val="Footer"/>
    <w:rsid w:val="008C1FD8"/>
  </w:style>
  <w:style w:type="character" w:styleId="PageNumber">
    <w:name w:val="page number"/>
    <w:basedOn w:val="DefaultParagraphFont"/>
    <w:rsid w:val="008C1FD8"/>
  </w:style>
  <w:style w:type="table" w:styleId="LightShading-Accent1">
    <w:name w:val="Light Shading Accent 1"/>
    <w:basedOn w:val="TableNormal"/>
    <w:uiPriority w:val="60"/>
    <w:rsid w:val="008C1FD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lockText">
    <w:name w:val="Block Text"/>
    <w:basedOn w:val="Normal"/>
    <w:rsid w:val="00540B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customStyle="1" w:styleId="AARenoufCasestudy">
    <w:name w:val="AA Renouf Case study"/>
    <w:basedOn w:val="AARenouf-Body1"/>
    <w:qFormat/>
    <w:rsid w:val="00042D06"/>
    <w:pPr>
      <w:pBdr>
        <w:top w:val="single" w:sz="4" w:space="1" w:color="auto"/>
        <w:left w:val="single" w:sz="4" w:space="4" w:color="auto"/>
        <w:bottom w:val="single" w:sz="4" w:space="1" w:color="auto"/>
        <w:right w:val="single" w:sz="4" w:space="4" w:color="auto"/>
      </w:pBdr>
      <w:shd w:val="pct10" w:color="auto" w:fill="auto"/>
      <w:ind w:left="567" w:right="560"/>
    </w:pPr>
  </w:style>
  <w:style w:type="table" w:styleId="TableGrid">
    <w:name w:val="Table Grid"/>
    <w:basedOn w:val="TableNormal"/>
    <w:rsid w:val="00E07A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8E6DB6"/>
    <w:pPr>
      <w:spacing w:after="0"/>
      <w:ind w:left="1100"/>
    </w:pPr>
    <w:rPr>
      <w:sz w:val="20"/>
      <w:szCs w:val="20"/>
    </w:rPr>
  </w:style>
  <w:style w:type="paragraph" w:styleId="TOC7">
    <w:name w:val="toc 7"/>
    <w:basedOn w:val="Normal"/>
    <w:next w:val="Normal"/>
    <w:autoRedefine/>
    <w:uiPriority w:val="39"/>
    <w:unhideWhenUsed/>
    <w:rsid w:val="008E6DB6"/>
    <w:pPr>
      <w:spacing w:after="0"/>
      <w:ind w:left="1320"/>
    </w:pPr>
    <w:rPr>
      <w:sz w:val="20"/>
      <w:szCs w:val="20"/>
    </w:rPr>
  </w:style>
  <w:style w:type="paragraph" w:styleId="TOC8">
    <w:name w:val="toc 8"/>
    <w:basedOn w:val="Normal"/>
    <w:next w:val="Normal"/>
    <w:autoRedefine/>
    <w:uiPriority w:val="39"/>
    <w:unhideWhenUsed/>
    <w:rsid w:val="008E6DB6"/>
    <w:pPr>
      <w:spacing w:after="0"/>
      <w:ind w:left="1540"/>
    </w:pPr>
    <w:rPr>
      <w:sz w:val="20"/>
      <w:szCs w:val="20"/>
    </w:rPr>
  </w:style>
  <w:style w:type="paragraph" w:styleId="TOC9">
    <w:name w:val="toc 9"/>
    <w:basedOn w:val="Normal"/>
    <w:next w:val="Normal"/>
    <w:autoRedefine/>
    <w:uiPriority w:val="39"/>
    <w:unhideWhenUsed/>
    <w:rsid w:val="008E6DB6"/>
    <w:pPr>
      <w:spacing w:after="0"/>
      <w:ind w:left="1760"/>
    </w:pPr>
    <w:rPr>
      <w:sz w:val="20"/>
      <w:szCs w:val="20"/>
    </w:rPr>
  </w:style>
  <w:style w:type="paragraph" w:styleId="NormalWeb">
    <w:name w:val="Normal (Web)"/>
    <w:basedOn w:val="Normal"/>
    <w:uiPriority w:val="99"/>
    <w:unhideWhenUsed/>
    <w:rsid w:val="00B2494F"/>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2494F"/>
    <w:rPr>
      <w:b/>
      <w:bCs/>
    </w:rPr>
  </w:style>
  <w:style w:type="numbering" w:styleId="111111">
    <w:name w:val="Outline List 2"/>
    <w:basedOn w:val="NoList"/>
    <w:rsid w:val="00C152D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055">
      <w:bodyDiv w:val="1"/>
      <w:marLeft w:val="0"/>
      <w:marRight w:val="0"/>
      <w:marTop w:val="0"/>
      <w:marBottom w:val="0"/>
      <w:divBdr>
        <w:top w:val="none" w:sz="0" w:space="0" w:color="auto"/>
        <w:left w:val="none" w:sz="0" w:space="0" w:color="auto"/>
        <w:bottom w:val="none" w:sz="0" w:space="0" w:color="auto"/>
        <w:right w:val="none" w:sz="0" w:space="0" w:color="auto"/>
      </w:divBdr>
    </w:div>
    <w:div w:id="138232169">
      <w:bodyDiv w:val="1"/>
      <w:marLeft w:val="0"/>
      <w:marRight w:val="0"/>
      <w:marTop w:val="0"/>
      <w:marBottom w:val="0"/>
      <w:divBdr>
        <w:top w:val="none" w:sz="0" w:space="0" w:color="auto"/>
        <w:left w:val="none" w:sz="0" w:space="0" w:color="auto"/>
        <w:bottom w:val="none" w:sz="0" w:space="0" w:color="auto"/>
        <w:right w:val="none" w:sz="0" w:space="0" w:color="auto"/>
      </w:divBdr>
    </w:div>
    <w:div w:id="642392110">
      <w:bodyDiv w:val="1"/>
      <w:marLeft w:val="0"/>
      <w:marRight w:val="0"/>
      <w:marTop w:val="0"/>
      <w:marBottom w:val="0"/>
      <w:divBdr>
        <w:top w:val="none" w:sz="0" w:space="0" w:color="auto"/>
        <w:left w:val="none" w:sz="0" w:space="0" w:color="auto"/>
        <w:bottom w:val="none" w:sz="0" w:space="0" w:color="auto"/>
        <w:right w:val="none" w:sz="0" w:space="0" w:color="auto"/>
      </w:divBdr>
    </w:div>
    <w:div w:id="810755765">
      <w:bodyDiv w:val="1"/>
      <w:marLeft w:val="0"/>
      <w:marRight w:val="0"/>
      <w:marTop w:val="0"/>
      <w:marBottom w:val="0"/>
      <w:divBdr>
        <w:top w:val="none" w:sz="0" w:space="0" w:color="auto"/>
        <w:left w:val="none" w:sz="0" w:space="0" w:color="auto"/>
        <w:bottom w:val="none" w:sz="0" w:space="0" w:color="auto"/>
        <w:right w:val="none" w:sz="0" w:space="0" w:color="auto"/>
      </w:divBdr>
    </w:div>
    <w:div w:id="1273125312">
      <w:bodyDiv w:val="1"/>
      <w:marLeft w:val="0"/>
      <w:marRight w:val="0"/>
      <w:marTop w:val="0"/>
      <w:marBottom w:val="0"/>
      <w:divBdr>
        <w:top w:val="none" w:sz="0" w:space="0" w:color="auto"/>
        <w:left w:val="none" w:sz="0" w:space="0" w:color="auto"/>
        <w:bottom w:val="none" w:sz="0" w:space="0" w:color="auto"/>
        <w:right w:val="none" w:sz="0" w:space="0" w:color="auto"/>
      </w:divBdr>
      <w:divsChild>
        <w:div w:id="1881546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75183">
              <w:marLeft w:val="0"/>
              <w:marRight w:val="0"/>
              <w:marTop w:val="0"/>
              <w:marBottom w:val="0"/>
              <w:divBdr>
                <w:top w:val="none" w:sz="0" w:space="0" w:color="auto"/>
                <w:left w:val="none" w:sz="0" w:space="0" w:color="auto"/>
                <w:bottom w:val="none" w:sz="0" w:space="0" w:color="auto"/>
                <w:right w:val="none" w:sz="0" w:space="0" w:color="auto"/>
              </w:divBdr>
              <w:divsChild>
                <w:div w:id="1636520486">
                  <w:marLeft w:val="0"/>
                  <w:marRight w:val="0"/>
                  <w:marTop w:val="0"/>
                  <w:marBottom w:val="0"/>
                  <w:divBdr>
                    <w:top w:val="none" w:sz="0" w:space="0" w:color="auto"/>
                    <w:left w:val="none" w:sz="0" w:space="0" w:color="auto"/>
                    <w:bottom w:val="none" w:sz="0" w:space="0" w:color="auto"/>
                    <w:right w:val="none" w:sz="0" w:space="0" w:color="auto"/>
                  </w:divBdr>
                  <w:divsChild>
                    <w:div w:id="2868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sat.gov.au/media/10489/ssat_annual_report_201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6838-52F4-4AE5-9D7E-40A3E1C0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Issues Paper: Problems with member of a couple decisions made by Centrelink investigations teams, Welfare Rights Centre, Sydney September 2012</vt:lpstr>
    </vt:vector>
  </TitlesOfParts>
  <Company>AMELIA MEERS</Company>
  <LinksUpToDate>false</LinksUpToDate>
  <CharactersWithSpaces>16606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Problems with member of a couple decisions made by Centrelink investigations teams, Welfare Rights Centre, Sydney September 2012</dc:title>
  <dc:creator>Amelia Meers</dc:creator>
  <cp:lastModifiedBy>Catalina Loyola</cp:lastModifiedBy>
  <cp:revision>2</cp:revision>
  <cp:lastPrinted>2012-06-20T07:58:00Z</cp:lastPrinted>
  <dcterms:created xsi:type="dcterms:W3CDTF">2013-02-11T00:50:00Z</dcterms:created>
  <dcterms:modified xsi:type="dcterms:W3CDTF">2013-02-11T00:50:00Z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B484990</vt:lpwstr>
  </property>
  <property fmtid="{D5CDD505-2E9C-101B-9397-08002B2CF9AE}" pid="4" name="Objective-Title">
    <vt:lpwstr>Gordon's Draft - Joint consumer submission - v1 25 June 2012 (Ai-Lin's comments) 20120626</vt:lpwstr>
  </property>
  <property fmtid="{D5CDD505-2E9C-101B-9397-08002B2CF9AE}" pid="5" name="Objective-Comment">
    <vt:lpwstr/>
  </property>
  <property fmtid="{D5CDD505-2E9C-101B-9397-08002B2CF9AE}" pid="6" name="Objective-CreationStamp">
    <vt:filetime>2012-06-26T02:45:42Z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2012-06-26T08:55:17Z</vt:filetime>
  </property>
  <property fmtid="{D5CDD505-2E9C-101B-9397-08002B2CF9AE}" pid="11" name="Objective-Owner">
    <vt:lpwstr>Ai-Lin Lee</vt:lpwstr>
  </property>
  <property fmtid="{D5CDD505-2E9C-101B-9397-08002B2CF9AE}" pid="12" name="Objective-Path">
    <vt:lpwstr>ASIC BCS:CONSUMERS &amp; INVESTORS:Stakeholder Liaison:Consumer Advisory Panel (CAP):CAP Research - 2011-2012 - Submission to Govt's Consultation on RSJ's Report (compensation):</vt:lpwstr>
  </property>
  <property fmtid="{D5CDD505-2E9C-101B-9397-08002B2CF9AE}" pid="13" name="Objective-Parent">
    <vt:lpwstr>CAP Research - 2011-2012 - Submission to Govt's Consultation on RSJ's Report (compensation)</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