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cstheme="minorHAnsi"/>
          <w:color w:val="0070C0"/>
          <w:sz w:val="22"/>
        </w:rPr>
        <w:id w:val="-1672638434"/>
        <w:docPartObj>
          <w:docPartGallery w:val="Cover Pages"/>
          <w:docPartUnique/>
        </w:docPartObj>
      </w:sdtPr>
      <w:sdtEndPr>
        <w:rPr>
          <w:color w:val="000000"/>
        </w:rPr>
      </w:sdtEndPr>
      <w:sdtContent>
        <w:p w:rsidR="00CD12B9" w:rsidRPr="00BB5D86" w:rsidRDefault="009B0BC8" w:rsidP="00473914">
          <w:pPr>
            <w:jc w:val="both"/>
            <w:rPr>
              <w:rFonts w:asciiTheme="minorHAnsi" w:hAnsiTheme="minorHAnsi" w:cstheme="minorHAnsi"/>
              <w:color w:val="0070C0"/>
              <w:sz w:val="22"/>
            </w:rPr>
          </w:pPr>
          <w:r w:rsidRPr="00BB5D86">
            <w:rPr>
              <w:rFonts w:asciiTheme="minorHAnsi" w:hAnsiTheme="minorHAnsi" w:cstheme="minorHAnsi"/>
              <w:noProof/>
              <w:color w:val="0070C0"/>
              <w:sz w:val="22"/>
              <w:lang w:eastAsia="en-AU"/>
            </w:rPr>
            <mc:AlternateContent>
              <mc:Choice Requires="wps">
                <w:drawing>
                  <wp:anchor distT="0" distB="0" distL="114300" distR="114300" simplePos="0" relativeHeight="251660288" behindDoc="1" locked="0" layoutInCell="1" allowOverlap="1" wp14:anchorId="09E2F9CE" wp14:editId="63961399">
                    <wp:simplePos x="0" y="0"/>
                    <wp:positionH relativeFrom="margin">
                      <wp:posOffset>-286385</wp:posOffset>
                    </wp:positionH>
                    <wp:positionV relativeFrom="margin">
                      <wp:posOffset>-443230</wp:posOffset>
                    </wp:positionV>
                    <wp:extent cx="6503670" cy="5751830"/>
                    <wp:effectExtent l="0" t="0" r="11430" b="2032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5751830"/>
                            </a:xfrm>
                            <a:prstGeom prst="rect">
                              <a:avLst/>
                            </a:prstGeom>
                            <a:solidFill>
                              <a:schemeClr val="tx2">
                                <a:lumMod val="60000"/>
                                <a:lumOff val="40000"/>
                              </a:schemeClr>
                            </a:solidFill>
                            <a:ln w="9525">
                              <a:solidFill>
                                <a:schemeClr val="accent1">
                                  <a:lumMod val="100000"/>
                                  <a:lumOff val="0"/>
                                </a:schemeClr>
                              </a:solidFill>
                              <a:miter lim="800000"/>
                              <a:headEnd/>
                              <a:tailEnd/>
                            </a:ln>
                          </wps:spPr>
                          <wps:txbx>
                            <w:txbxContent>
                              <w:sdt>
                                <w:sdtPr>
                                  <w:rPr>
                                    <w:rFonts w:asciiTheme="majorHAnsi" w:hAnsiTheme="majorHAnsi" w:cs="Arial"/>
                                    <w:b/>
                                    <w:color w:val="4A442A" w:themeColor="background2" w:themeShade="40"/>
                                    <w:sz w:val="96"/>
                                    <w:szCs w:val="96"/>
                                  </w:rPr>
                                  <w:alias w:val="Title"/>
                                  <w:id w:val="1550341699"/>
                                  <w:dataBinding w:prefixMappings="xmlns:ns0='http://schemas.openxmlformats.org/package/2006/metadata/core-properties' xmlns:ns1='http://purl.org/dc/elements/1.1/'" w:xpath="/ns0:coreProperties[1]/ns1:title[1]" w:storeItemID="{6C3C8BC8-F283-45AE-878A-BAB7291924A1}"/>
                                  <w:text/>
                                </w:sdtPr>
                                <w:sdtEndPr/>
                                <w:sdtContent>
                                  <w:p w:rsidR="00C3374D" w:rsidRPr="00CD12B9" w:rsidRDefault="00C3374D">
                                    <w:pPr>
                                      <w:pStyle w:val="NoSpacing"/>
                                      <w:rPr>
                                        <w:rFonts w:asciiTheme="majorHAnsi" w:eastAsiaTheme="majorEastAsia" w:hAnsiTheme="majorHAnsi" w:cstheme="majorBidi"/>
                                        <w:b/>
                                        <w:color w:val="4A442A" w:themeColor="background2" w:themeShade="40"/>
                                        <w:sz w:val="84"/>
                                        <w:szCs w:val="72"/>
                                      </w:rPr>
                                    </w:pPr>
                                    <w:r>
                                      <w:rPr>
                                        <w:rFonts w:asciiTheme="majorHAnsi" w:hAnsiTheme="majorHAnsi" w:cs="Arial"/>
                                        <w:b/>
                                        <w:color w:val="4A442A" w:themeColor="background2" w:themeShade="40"/>
                                        <w:sz w:val="96"/>
                                        <w:szCs w:val="96"/>
                                        <w:lang w:val="en-AU"/>
                                      </w:rPr>
                                      <w:t>2014-15 Federal Budget Submission</w:t>
                                    </w:r>
                                  </w:p>
                                </w:sdtContent>
                              </w:sdt>
                            </w:txbxContent>
                          </wps:txbx>
                          <wps:bodyPr rot="0" vert="horz" wrap="square" lIns="228600" tIns="45720" rIns="1371600" bIns="9144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22.55pt;margin-top:-34.9pt;width:512.1pt;height:452.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" fillcolor="#548dd4 [1951]" strokecolor="#4f81bd [3204]">
                    <v:textbox inset="18pt,,108pt,7.2pt">
                      <w:txbxContent>
                        <w:sdt>
                          <w:sdtPr>
                            <w:rPr>
                              <w:rFonts w:asciiTheme="majorHAnsi" w:hAnsiTheme="majorHAnsi" w:cs="Arial"/>
                              <w:b/>
                              <w:color w:val="4A442A" w:themeColor="background2" w:themeShade="40"/>
                              <w:sz w:val="96"/>
                              <w:szCs w:val="96"/>
                            </w:rPr>
                            <w:alias w:val="Title"/>
                            <w:id w:val="1550341699"/>
                            <w:dataBinding w:prefixMappings="xmlns:ns0='http://schemas.openxmlformats.org/package/2006/metadata/core-properties' xmlns:ns1='http://purl.org/dc/elements/1.1/'" w:xpath="/ns0:coreProperties[1]/ns1:title[1]" w:storeItemID="{6C3C8BC8-F283-45AE-878A-BAB7291924A1}"/>
                            <w:text/>
                          </w:sdtPr>
                          <w:sdtContent>
                            <w:p w:rsidR="00C3374D" w:rsidRPr="00CD12B9" w:rsidRDefault="00C3374D">
                              <w:pPr>
                                <w:pStyle w:val="NoSpacing"/>
                                <w:rPr>
                                  <w:rFonts w:asciiTheme="majorHAnsi" w:eastAsiaTheme="majorEastAsia" w:hAnsiTheme="majorHAnsi" w:cstheme="majorBidi"/>
                                  <w:b/>
                                  <w:color w:val="4A442A" w:themeColor="background2" w:themeShade="40"/>
                                  <w:sz w:val="84"/>
                                  <w:szCs w:val="72"/>
                                </w:rPr>
                              </w:pPr>
                              <w:r>
                                <w:rPr>
                                  <w:rFonts w:asciiTheme="majorHAnsi" w:hAnsiTheme="majorHAnsi" w:cs="Arial"/>
                                  <w:b/>
                                  <w:color w:val="4A442A" w:themeColor="background2" w:themeShade="40"/>
                                  <w:sz w:val="96"/>
                                  <w:szCs w:val="96"/>
                                  <w:lang w:val="en-AU"/>
                                </w:rPr>
                                <w:t>2014-15 Federal Budget Submission</w:t>
                              </w:r>
                            </w:p>
                          </w:sdtContent>
                        </w:sdt>
                      </w:txbxContent>
                    </v:textbox>
                    <w10:wrap anchorx="margin" anchory="margin"/>
                  </v:rect>
                </w:pict>
              </mc:Fallback>
            </mc:AlternateContent>
          </w:r>
          <w:r w:rsidR="00CD12B9" w:rsidRPr="00BB5D86">
            <w:rPr>
              <w:rFonts w:asciiTheme="minorHAnsi" w:hAnsiTheme="minorHAnsi" w:cstheme="minorHAnsi"/>
              <w:noProof/>
              <w:color w:val="0070C0"/>
              <w:sz w:val="22"/>
              <w:lang w:eastAsia="en-AU"/>
            </w:rPr>
            <w:drawing>
              <wp:inline distT="0" distB="0" distL="0" distR="0" wp14:anchorId="0F7AC487" wp14:editId="73D230C1">
                <wp:extent cx="1458644" cy="6924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talina\Desktop\nwrnlogo tiff.t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58644" cy="692487"/>
                        </a:xfrm>
                        <a:prstGeom prst="rect">
                          <a:avLst/>
                        </a:prstGeom>
                        <a:noFill/>
                        <a:ln>
                          <a:noFill/>
                        </a:ln>
                        <a:effectLst>
                          <a:glow>
                            <a:schemeClr val="accent1"/>
                          </a:glow>
                        </a:effectLst>
                      </pic:spPr>
                    </pic:pic>
                  </a:graphicData>
                </a:graphic>
              </wp:inline>
            </w:drawing>
          </w:r>
        </w:p>
        <w:p w:rsidR="00CD12B9" w:rsidRPr="00BB5D86" w:rsidRDefault="00CD12B9" w:rsidP="00473914">
          <w:pPr>
            <w:jc w:val="both"/>
            <w:rPr>
              <w:rFonts w:asciiTheme="minorHAnsi" w:hAnsiTheme="minorHAnsi" w:cstheme="minorHAnsi"/>
              <w:sz w:val="22"/>
            </w:rPr>
          </w:pPr>
        </w:p>
        <w:p w:rsidR="00CD12B9" w:rsidRPr="00BB5D86" w:rsidRDefault="00CD12B9" w:rsidP="00473914">
          <w:pPr>
            <w:jc w:val="both"/>
            <w:rPr>
              <w:rFonts w:asciiTheme="minorHAnsi" w:hAnsiTheme="minorHAnsi" w:cstheme="minorHAnsi"/>
              <w:sz w:val="22"/>
            </w:rPr>
          </w:pPr>
        </w:p>
        <w:p w:rsidR="00CD12B9" w:rsidRPr="00BB5D86" w:rsidRDefault="00CD12B9" w:rsidP="00473914">
          <w:pPr>
            <w:jc w:val="both"/>
            <w:rPr>
              <w:rFonts w:asciiTheme="minorHAnsi" w:hAnsiTheme="minorHAnsi" w:cstheme="minorHAnsi"/>
              <w:sz w:val="22"/>
            </w:rPr>
          </w:pPr>
        </w:p>
        <w:p w:rsidR="00BB5D86" w:rsidRDefault="009B0BC8" w:rsidP="0045734B">
          <w:pPr>
            <w:jc w:val="both"/>
            <w:rPr>
              <w:rFonts w:asciiTheme="minorHAnsi" w:hAnsiTheme="minorHAnsi" w:cstheme="minorHAnsi"/>
              <w:sz w:val="22"/>
            </w:rPr>
          </w:pPr>
          <w:r w:rsidRPr="00BB5D86">
            <w:rPr>
              <w:rFonts w:asciiTheme="minorHAnsi" w:hAnsiTheme="minorHAnsi" w:cstheme="minorHAnsi"/>
              <w:noProof/>
              <w:sz w:val="22"/>
              <w:lang w:eastAsia="en-AU"/>
            </w:rPr>
            <mc:AlternateContent>
              <mc:Choice Requires="wps">
                <w:drawing>
                  <wp:anchor distT="0" distB="0" distL="114300" distR="114300" simplePos="0" relativeHeight="251662336" behindDoc="0" locked="0" layoutInCell="1" allowOverlap="1" wp14:anchorId="61A5416A" wp14:editId="1BCB6F87">
                    <wp:simplePos x="0" y="0"/>
                    <mc:AlternateContent>
                      <mc:Choice Requires="wp14">
                        <wp:positionH relativeFrom="margin">
                          <wp14:pctPosHOffset>-5000</wp14:pctPosHOffset>
                        </wp:positionH>
                      </mc:Choice>
                      <mc:Fallback>
                        <wp:positionH relativeFrom="page">
                          <wp:posOffset>618490</wp:posOffset>
                        </wp:positionH>
                      </mc:Fallback>
                    </mc:AlternateContent>
                    <mc:AlternateContent>
                      <mc:Choice Requires="wp14">
                        <wp:positionV relativeFrom="margin">
                          <wp14:pctPosVOffset>59000</wp14:pctPosVOffset>
                        </wp:positionV>
                      </mc:Choice>
                      <mc:Fallback>
                        <wp:positionV relativeFrom="page">
                          <wp:posOffset>6144260</wp:posOffset>
                        </wp:positionV>
                      </mc:Fallback>
                    </mc:AlternateContent>
                    <wp:extent cx="2932430" cy="3985260"/>
                    <wp:effectExtent l="0" t="0" r="0" b="0"/>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2430" cy="3985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374D" w:rsidRPr="003B0DD8" w:rsidRDefault="00C3374D" w:rsidP="00CE1429">
                                <w:pPr>
                                  <w:suppressOverlap/>
                                  <w:rPr>
                                    <w:rFonts w:asciiTheme="majorHAnsi" w:hAnsiTheme="majorHAnsi" w:cs="Arial"/>
                                    <w:b/>
                                    <w:color w:val="17365D" w:themeColor="text2" w:themeShade="BF"/>
                                    <w:sz w:val="40"/>
                                    <w:szCs w:val="40"/>
                                  </w:rPr>
                                </w:pPr>
                                <w:r>
                                  <w:rPr>
                                    <w:rFonts w:asciiTheme="majorHAnsi" w:hAnsiTheme="majorHAnsi" w:cs="Arial"/>
                                    <w:b/>
                                    <w:color w:val="17365D" w:themeColor="text2" w:themeShade="BF"/>
                                    <w:sz w:val="40"/>
                                    <w:szCs w:val="40"/>
                                  </w:rPr>
                                  <w:t>A submission to the Federal Government</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Text Box 386" o:spid="_x0000_s1027" type="#_x0000_t202" style="position:absolute;left:0;text-align:left;margin-left:0;margin-top:0;width:230.9pt;height:313.8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" filled="f" stroked="f" strokeweight=".5pt">
                    <v:path arrowok="t"/>
                    <v:textbox inset=",7.2pt,,7.2pt">
                      <w:txbxContent>
                        <w:p w:rsidR="00C3374D" w:rsidRPr="003B0DD8" w:rsidRDefault="00C3374D" w:rsidP="00CE1429">
                          <w:pPr>
                            <w:suppressOverlap/>
                            <w:rPr>
                              <w:rFonts w:asciiTheme="majorHAnsi" w:hAnsiTheme="majorHAnsi" w:cs="Arial"/>
                              <w:b/>
                              <w:color w:val="17365D" w:themeColor="text2" w:themeShade="BF"/>
                              <w:sz w:val="40"/>
                              <w:szCs w:val="40"/>
                            </w:rPr>
                          </w:pPr>
                          <w:r>
                            <w:rPr>
                              <w:rFonts w:asciiTheme="majorHAnsi" w:hAnsiTheme="majorHAnsi" w:cs="Arial"/>
                              <w:b/>
                              <w:color w:val="17365D" w:themeColor="text2" w:themeShade="BF"/>
                              <w:sz w:val="40"/>
                              <w:szCs w:val="40"/>
                            </w:rPr>
                            <w:t>A submission to the Federal Government</w:t>
                          </w:r>
                        </w:p>
                      </w:txbxContent>
                    </v:textbox>
                    <w10:wrap anchorx="margin" anchory="margin"/>
                  </v:shape>
                </w:pict>
              </mc:Fallback>
            </mc:AlternateContent>
          </w:r>
          <w:r w:rsidRPr="00BB5D86">
            <w:rPr>
              <w:rFonts w:asciiTheme="minorHAnsi" w:hAnsiTheme="minorHAnsi" w:cstheme="minorHAnsi"/>
              <w:noProof/>
              <w:sz w:val="22"/>
              <w:lang w:eastAsia="en-AU"/>
            </w:rPr>
            <mc:AlternateContent>
              <mc:Choice Requires="wps">
                <w:drawing>
                  <wp:anchor distT="0" distB="0" distL="114300" distR="114300" simplePos="0" relativeHeight="251663360" behindDoc="0" locked="0" layoutInCell="1" allowOverlap="1" wp14:anchorId="668256B9" wp14:editId="3145D864">
                    <wp:simplePos x="0" y="0"/>
                    <mc:AlternateContent>
                      <mc:Choice Requires="wp14">
                        <wp:positionH relativeFrom="margin">
                          <wp14:pctPosHOffset>44500</wp14:pctPosHOffset>
                        </wp:positionH>
                      </mc:Choice>
                      <mc:Fallback>
                        <wp:positionH relativeFrom="page">
                          <wp:posOffset>3551555</wp:posOffset>
                        </wp:positionH>
                      </mc:Fallback>
                    </mc:AlternateContent>
                    <mc:AlternateContent>
                      <mc:Choice Requires="wp14">
                        <wp:positionV relativeFrom="margin">
                          <wp14:pctPosVOffset>59000</wp14:pctPosVOffset>
                        </wp:positionV>
                      </mc:Choice>
                      <mc:Fallback>
                        <wp:positionV relativeFrom="page">
                          <wp:posOffset>6144260</wp:posOffset>
                        </wp:positionV>
                      </mc:Fallback>
                    </mc:AlternateContent>
                    <wp:extent cx="3584575" cy="3985260"/>
                    <wp:effectExtent l="0" t="0" r="0" b="0"/>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4575" cy="3985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s="Arial"/>
                                    <w:b/>
                                    <w:color w:val="17365D" w:themeColor="text2" w:themeShade="BF"/>
                                    <w:sz w:val="40"/>
                                    <w:szCs w:val="40"/>
                                  </w:rPr>
                                  <w:alias w:val="Abstract"/>
                                  <w:id w:val="-1607958633"/>
                                  <w:dataBinding w:prefixMappings="xmlns:ns0='http://schemas.microsoft.com/office/2006/coverPageProps'" w:xpath="/ns0:CoverPageProperties[1]/ns0:Abstract[1]" w:storeItemID="{55AF091B-3C7A-41E3-B477-F2FDAA23CFDA}"/>
                                  <w:text/>
                                </w:sdtPr>
                                <w:sdtEndPr/>
                                <w:sdtContent>
                                  <w:p w:rsidR="00C3374D" w:rsidRPr="003B0DD8" w:rsidRDefault="00C3374D">
                                    <w:pPr>
                                      <w:suppressOverlap/>
                                      <w:rPr>
                                        <w:color w:val="17365D" w:themeColor="text2" w:themeShade="BF"/>
                                      </w:rPr>
                                    </w:pPr>
                                    <w:r w:rsidRPr="003B0DD8">
                                      <w:rPr>
                                        <w:rFonts w:asciiTheme="majorHAnsi" w:hAnsiTheme="majorHAnsi" w:cs="Arial"/>
                                        <w:b/>
                                        <w:color w:val="17365D" w:themeColor="text2" w:themeShade="BF"/>
                                        <w:sz w:val="40"/>
                                        <w:szCs w:val="40"/>
                                      </w:rPr>
                                      <w:t>National Welfare Rights Network</w:t>
                                    </w:r>
                                  </w:p>
                                </w:sdtContent>
                              </w:sdt>
                              <w:p w:rsidR="00C3374D" w:rsidRDefault="00C3374D"/>
                              <w:p w:rsidR="00C3374D" w:rsidRDefault="00C3374D">
                                <w:pPr>
                                  <w:rPr>
                                    <w:rFonts w:asciiTheme="majorHAnsi" w:hAnsiTheme="majorHAnsi"/>
                                    <w:b/>
                                    <w:color w:val="002060"/>
                                  </w:rPr>
                                </w:pPr>
                                <w:r>
                                  <w:rPr>
                                    <w:rFonts w:asciiTheme="majorHAnsi" w:hAnsiTheme="majorHAnsi"/>
                                    <w:b/>
                                    <w:color w:val="002060"/>
                                  </w:rPr>
                                  <w:t>31 January 2014</w:t>
                                </w:r>
                              </w:p>
                              <w:p w:rsidR="00C3374D" w:rsidRDefault="00C3374D">
                                <w:pPr>
                                  <w:rPr>
                                    <w:rFonts w:asciiTheme="majorHAnsi" w:hAnsiTheme="majorHAnsi"/>
                                    <w:b/>
                                    <w:color w:val="002060"/>
                                  </w:rPr>
                                </w:pPr>
                              </w:p>
                              <w:p w:rsidR="00C3374D" w:rsidRPr="00BB5A38" w:rsidRDefault="00C3374D">
                                <w:pPr>
                                  <w:rPr>
                                    <w:rFonts w:asciiTheme="majorHAnsi" w:hAnsiTheme="majorHAnsi"/>
                                    <w:b/>
                                    <w:color w:val="002060"/>
                                  </w:rPr>
                                </w:pP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id="Text Box 387" o:spid="_x0000_s1028" type="#_x0000_t202" style="position:absolute;left:0;text-align:left;margin-left:0;margin-top:0;width:282.25pt;height:313.8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" filled="f" stroked="f" strokeweight=".5pt">
                    <v:path arrowok="t"/>
                    <v:textbox inset=",14.4pt,,7.2pt">
                      <w:txbxContent>
                        <w:sdt>
                          <w:sdtPr>
                            <w:rPr>
                              <w:rFonts w:asciiTheme="majorHAnsi" w:hAnsiTheme="majorHAnsi" w:cs="Arial"/>
                              <w:b/>
                              <w:color w:val="17365D" w:themeColor="text2" w:themeShade="BF"/>
                              <w:sz w:val="40"/>
                              <w:szCs w:val="40"/>
                            </w:rPr>
                            <w:alias w:val="Abstract"/>
                            <w:id w:val="-1607958633"/>
                            <w:dataBinding w:prefixMappings="xmlns:ns0='http://schemas.microsoft.com/office/2006/coverPageProps'" w:xpath="/ns0:CoverPageProperties[1]/ns0:Abstract[1]" w:storeItemID="{55AF091B-3C7A-41E3-B477-F2FDAA23CFDA}"/>
                            <w:text/>
                          </w:sdtPr>
                          <w:sdtContent>
                            <w:p w:rsidR="00C3374D" w:rsidRPr="003B0DD8" w:rsidRDefault="00C3374D">
                              <w:pPr>
                                <w:suppressOverlap/>
                                <w:rPr>
                                  <w:color w:val="17365D" w:themeColor="text2" w:themeShade="BF"/>
                                </w:rPr>
                              </w:pPr>
                              <w:r w:rsidRPr="003B0DD8">
                                <w:rPr>
                                  <w:rFonts w:asciiTheme="majorHAnsi" w:hAnsiTheme="majorHAnsi" w:cs="Arial"/>
                                  <w:b/>
                                  <w:color w:val="17365D" w:themeColor="text2" w:themeShade="BF"/>
                                  <w:sz w:val="40"/>
                                  <w:szCs w:val="40"/>
                                </w:rPr>
                                <w:t>National Welfare Rights Network</w:t>
                              </w:r>
                            </w:p>
                          </w:sdtContent>
                        </w:sdt>
                        <w:p w:rsidR="00C3374D" w:rsidRDefault="00C3374D"/>
                        <w:p w:rsidR="00C3374D" w:rsidRDefault="00C3374D">
                          <w:pPr>
                            <w:rPr>
                              <w:rFonts w:asciiTheme="majorHAnsi" w:hAnsiTheme="majorHAnsi"/>
                              <w:b/>
                              <w:color w:val="002060"/>
                            </w:rPr>
                          </w:pPr>
                          <w:r>
                            <w:rPr>
                              <w:rFonts w:asciiTheme="majorHAnsi" w:hAnsiTheme="majorHAnsi"/>
                              <w:b/>
                              <w:color w:val="002060"/>
                            </w:rPr>
                            <w:t>31 January 2014</w:t>
                          </w:r>
                        </w:p>
                        <w:p w:rsidR="00C3374D" w:rsidRDefault="00C3374D">
                          <w:pPr>
                            <w:rPr>
                              <w:rFonts w:asciiTheme="majorHAnsi" w:hAnsiTheme="majorHAnsi"/>
                              <w:b/>
                              <w:color w:val="002060"/>
                            </w:rPr>
                          </w:pPr>
                        </w:p>
                        <w:p w:rsidR="00C3374D" w:rsidRPr="00BB5A38" w:rsidRDefault="00C3374D">
                          <w:pPr>
                            <w:rPr>
                              <w:rFonts w:asciiTheme="majorHAnsi" w:hAnsiTheme="majorHAnsi"/>
                              <w:b/>
                              <w:color w:val="002060"/>
                            </w:rPr>
                          </w:pPr>
                        </w:p>
                      </w:txbxContent>
                    </v:textbox>
                    <w10:wrap anchorx="margin" anchory="margin"/>
                  </v:shape>
                </w:pict>
              </mc:Fallback>
            </mc:AlternateContent>
          </w:r>
          <w:r w:rsidRPr="00BB5D86">
            <w:rPr>
              <w:rFonts w:asciiTheme="minorHAnsi" w:hAnsiTheme="minorHAnsi" w:cstheme="minorHAnsi"/>
              <w:noProof/>
              <w:sz w:val="22"/>
              <w:lang w:eastAsia="en-AU"/>
            </w:rPr>
            <mc:AlternateContent>
              <mc:Choice Requires="wps">
                <w:drawing>
                  <wp:anchor distT="0" distB="0" distL="114300" distR="114300" simplePos="0" relativeHeight="251659264" behindDoc="1" locked="0" layoutInCell="1" allowOverlap="1" wp14:anchorId="5F8B3E5B" wp14:editId="7BE41494">
                    <wp:simplePos x="0" y="0"/>
                    <wp:positionH relativeFrom="margin">
                      <wp:align>center</wp:align>
                    </wp:positionH>
                    <mc:AlternateContent>
                      <mc:Choice Requires="wp14">
                        <wp:positionV relativeFrom="margin">
                          <wp14:pctPosVOffset>59000</wp14:pctPosVOffset>
                        </wp:positionV>
                      </mc:Choice>
                      <mc:Fallback>
                        <wp:positionV relativeFrom="page">
                          <wp:posOffset>6144260</wp:posOffset>
                        </wp:positionV>
                      </mc:Fallback>
                    </mc:AlternateContent>
                    <wp:extent cx="6518910" cy="3985260"/>
                    <wp:effectExtent l="0" t="0" r="0" b="0"/>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910" cy="398526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0;margin-top:0;width:513.3pt;height:313.8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" fillcolor="white [2577]" stroked="f" strokeweight="2pt">
                    <v:fill color2="#4c4c4c [961]" rotate="t" focusposition=".5,.5" focussize="" focus="100%" type="gradientRadial"/>
                    <v:path arrowok="t"/>
                    <w10:wrap anchorx="margin" anchory="margin"/>
                  </v:rect>
                </w:pict>
              </mc:Fallback>
            </mc:AlternateContent>
          </w:r>
          <w:r w:rsidRPr="00BB5D86">
            <w:rPr>
              <w:rFonts w:asciiTheme="minorHAnsi" w:hAnsiTheme="minorHAnsi" w:cstheme="minorHAnsi"/>
              <w:noProof/>
              <w:sz w:val="22"/>
              <w:lang w:eastAsia="en-AU"/>
            </w:rPr>
            <mc:AlternateContent>
              <mc:Choice Requires="wpg">
                <w:drawing>
                  <wp:anchor distT="0" distB="0" distL="114300" distR="114300" simplePos="0" relativeHeight="251661312" behindDoc="0" locked="0" layoutInCell="1" allowOverlap="1" wp14:anchorId="77F664B4" wp14:editId="42823FCE">
                    <wp:simplePos x="0" y="0"/>
                    <mc:AlternateContent>
                      <mc:Choice Requires="wp14">
                        <wp:positionH relativeFrom="page">
                          <wp14:pctPosHOffset>75000</wp14:pctPosHOffset>
                        </wp:positionH>
                      </mc:Choice>
                      <mc:Fallback>
                        <wp:positionH relativeFrom="page">
                          <wp:posOffset>5667375</wp:posOffset>
                        </wp:positionH>
                      </mc:Fallback>
                    </mc:AlternateContent>
                    <mc:AlternateContent>
                      <mc:Choice Requires="wp14">
                        <wp:positionV relativeFrom="page">
                          <wp14:pctPosVOffset>49000</wp14:pctPosVOffset>
                        </wp:positionV>
                      </mc:Choice>
                      <mc:Fallback>
                        <wp:positionV relativeFrom="page">
                          <wp:posOffset>5239385</wp:posOffset>
                        </wp:positionV>
                      </mc:Fallback>
                    </mc:AlternateContent>
                    <wp:extent cx="740410" cy="777240"/>
                    <wp:effectExtent l="635" t="0" r="3175" b="3175"/>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410"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sidR="00CD12B9" w:rsidRPr="00BB5D86">
            <w:rPr>
              <w:rFonts w:asciiTheme="minorHAnsi" w:hAnsiTheme="minorHAnsi" w:cstheme="minorHAnsi"/>
              <w:sz w:val="22"/>
            </w:rPr>
            <w:br w:type="page"/>
          </w:r>
        </w:p>
      </w:sdtContent>
    </w:sdt>
    <w:sdt>
      <w:sdtPr>
        <w:rPr>
          <w:rFonts w:ascii="Times New Roman" w:eastAsia="ヒラギノ角ゴ Pro W3" w:hAnsi="Times New Roman" w:cs="Times New Roman"/>
          <w:b w:val="0"/>
          <w:bCs w:val="0"/>
          <w:color w:val="000000"/>
          <w:sz w:val="24"/>
          <w:szCs w:val="24"/>
        </w:rPr>
        <w:id w:val="846146033"/>
        <w:docPartObj>
          <w:docPartGallery w:val="Table of Contents"/>
          <w:docPartUnique/>
        </w:docPartObj>
      </w:sdtPr>
      <w:sdtEndPr>
        <w:rPr>
          <w:noProof/>
        </w:rPr>
      </w:sdtEndPr>
      <w:sdtContent>
        <w:p w:rsidR="00F64E9E" w:rsidRDefault="00F64E9E">
          <w:pPr>
            <w:pStyle w:val="TOCHeading"/>
          </w:pPr>
          <w:r>
            <w:t>Contents</w:t>
          </w:r>
        </w:p>
        <w:p w:rsidR="00D236F0" w:rsidRDefault="00F64E9E">
          <w:pPr>
            <w:pStyle w:val="TOC3"/>
            <w:tabs>
              <w:tab w:val="right" w:leader="dot" w:pos="9323"/>
            </w:tabs>
            <w:rPr>
              <w:rFonts w:asciiTheme="minorHAnsi" w:eastAsiaTheme="minorEastAsia" w:hAnsiTheme="minorHAnsi" w:cstheme="minorBidi"/>
              <w:noProof/>
              <w:color w:val="auto"/>
              <w:sz w:val="22"/>
              <w:szCs w:val="22"/>
              <w:lang w:eastAsia="en-AU"/>
            </w:rPr>
          </w:pPr>
          <w:r>
            <w:fldChar w:fldCharType="begin"/>
          </w:r>
          <w:r>
            <w:instrText xml:space="preserve"> TOC \o "1-3" \h \z \u </w:instrText>
          </w:r>
          <w:r>
            <w:fldChar w:fldCharType="separate"/>
          </w:r>
          <w:hyperlink w:anchor="_Toc379199677" w:history="1">
            <w:r w:rsidR="00D236F0" w:rsidRPr="005C4EE2">
              <w:rPr>
                <w:rStyle w:val="Hyperlink"/>
                <w:noProof/>
              </w:rPr>
              <w:t>Executive Summary</w:t>
            </w:r>
            <w:r w:rsidR="00D236F0">
              <w:rPr>
                <w:noProof/>
                <w:webHidden/>
              </w:rPr>
              <w:tab/>
            </w:r>
            <w:r w:rsidR="00D236F0">
              <w:rPr>
                <w:noProof/>
                <w:webHidden/>
              </w:rPr>
              <w:fldChar w:fldCharType="begin"/>
            </w:r>
            <w:r w:rsidR="00D236F0">
              <w:rPr>
                <w:noProof/>
                <w:webHidden/>
              </w:rPr>
              <w:instrText xml:space="preserve"> PAGEREF _Toc379199677 \h </w:instrText>
            </w:r>
            <w:r w:rsidR="00D236F0">
              <w:rPr>
                <w:noProof/>
                <w:webHidden/>
              </w:rPr>
            </w:r>
            <w:r w:rsidR="00D236F0">
              <w:rPr>
                <w:noProof/>
                <w:webHidden/>
              </w:rPr>
              <w:fldChar w:fldCharType="separate"/>
            </w:r>
            <w:r w:rsidR="00D236F0">
              <w:rPr>
                <w:noProof/>
                <w:webHidden/>
              </w:rPr>
              <w:t>2</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78" w:history="1">
            <w:r w:rsidR="00D236F0" w:rsidRPr="005C4EE2">
              <w:rPr>
                <w:rStyle w:val="Hyperlink"/>
                <w:noProof/>
              </w:rPr>
              <w:t>Recommendations</w:t>
            </w:r>
            <w:r w:rsidR="00D236F0">
              <w:rPr>
                <w:noProof/>
                <w:webHidden/>
              </w:rPr>
              <w:tab/>
            </w:r>
            <w:r w:rsidR="00D236F0">
              <w:rPr>
                <w:noProof/>
                <w:webHidden/>
              </w:rPr>
              <w:fldChar w:fldCharType="begin"/>
            </w:r>
            <w:r w:rsidR="00D236F0">
              <w:rPr>
                <w:noProof/>
                <w:webHidden/>
              </w:rPr>
              <w:instrText xml:space="preserve"> PAGEREF _Toc379199678 \h </w:instrText>
            </w:r>
            <w:r w:rsidR="00D236F0">
              <w:rPr>
                <w:noProof/>
                <w:webHidden/>
              </w:rPr>
            </w:r>
            <w:r w:rsidR="00D236F0">
              <w:rPr>
                <w:noProof/>
                <w:webHidden/>
              </w:rPr>
              <w:fldChar w:fldCharType="separate"/>
            </w:r>
            <w:r w:rsidR="00D236F0">
              <w:rPr>
                <w:noProof/>
                <w:webHidden/>
              </w:rPr>
              <w:t>3</w:t>
            </w:r>
            <w:r w:rsidR="00D236F0">
              <w:rPr>
                <w:noProof/>
                <w:webHidden/>
              </w:rPr>
              <w:fldChar w:fldCharType="end"/>
            </w:r>
          </w:hyperlink>
        </w:p>
        <w:p w:rsidR="00D236F0" w:rsidRDefault="00073A16">
          <w:pPr>
            <w:pStyle w:val="TOC1"/>
            <w:tabs>
              <w:tab w:val="right" w:leader="dot" w:pos="9323"/>
            </w:tabs>
            <w:rPr>
              <w:rFonts w:asciiTheme="minorHAnsi" w:eastAsiaTheme="minorEastAsia" w:hAnsiTheme="minorHAnsi" w:cstheme="minorBidi"/>
              <w:noProof/>
              <w:color w:val="auto"/>
              <w:sz w:val="22"/>
              <w:szCs w:val="22"/>
              <w:lang w:eastAsia="en-AU"/>
            </w:rPr>
          </w:pPr>
          <w:hyperlink w:anchor="_Toc379199679" w:history="1">
            <w:r w:rsidR="00D236F0" w:rsidRPr="005C4EE2">
              <w:rPr>
                <w:rStyle w:val="Hyperlink"/>
                <w:noProof/>
              </w:rPr>
              <w:t>NWRN 2014-15 Federal Budget Priorities</w:t>
            </w:r>
            <w:r w:rsidR="00D236F0">
              <w:rPr>
                <w:noProof/>
                <w:webHidden/>
              </w:rPr>
              <w:tab/>
            </w:r>
            <w:r w:rsidR="00D236F0">
              <w:rPr>
                <w:noProof/>
                <w:webHidden/>
              </w:rPr>
              <w:fldChar w:fldCharType="begin"/>
            </w:r>
            <w:r w:rsidR="00D236F0">
              <w:rPr>
                <w:noProof/>
                <w:webHidden/>
              </w:rPr>
              <w:instrText xml:space="preserve"> PAGEREF _Toc379199679 \h </w:instrText>
            </w:r>
            <w:r w:rsidR="00D236F0">
              <w:rPr>
                <w:noProof/>
                <w:webHidden/>
              </w:rPr>
            </w:r>
            <w:r w:rsidR="00D236F0">
              <w:rPr>
                <w:noProof/>
                <w:webHidden/>
              </w:rPr>
              <w:fldChar w:fldCharType="separate"/>
            </w:r>
            <w:r w:rsidR="00D236F0">
              <w:rPr>
                <w:noProof/>
                <w:webHidden/>
              </w:rPr>
              <w:t>6</w:t>
            </w:r>
            <w:r w:rsidR="00D236F0">
              <w:rPr>
                <w:noProof/>
                <w:webHidden/>
              </w:rPr>
              <w:fldChar w:fldCharType="end"/>
            </w:r>
          </w:hyperlink>
        </w:p>
        <w:p w:rsidR="00D236F0" w:rsidRDefault="00073A16">
          <w:pPr>
            <w:pStyle w:val="TOC2"/>
            <w:tabs>
              <w:tab w:val="left" w:pos="1320"/>
              <w:tab w:val="right" w:leader="dot" w:pos="9323"/>
            </w:tabs>
            <w:rPr>
              <w:rFonts w:asciiTheme="minorHAnsi" w:eastAsiaTheme="minorEastAsia" w:hAnsiTheme="minorHAnsi" w:cstheme="minorBidi"/>
              <w:noProof/>
              <w:color w:val="auto"/>
              <w:sz w:val="22"/>
              <w:szCs w:val="22"/>
              <w:lang w:eastAsia="en-AU"/>
            </w:rPr>
          </w:pPr>
          <w:hyperlink w:anchor="_Toc379199680" w:history="1">
            <w:r w:rsidR="00D236F0" w:rsidRPr="005C4EE2">
              <w:rPr>
                <w:rStyle w:val="Hyperlink"/>
                <w:noProof/>
                <w:lang w:val="en-US" w:eastAsia="en-AU"/>
              </w:rPr>
              <w:t>PART 1</w:t>
            </w:r>
            <w:r w:rsidR="00D236F0">
              <w:rPr>
                <w:rFonts w:asciiTheme="minorHAnsi" w:eastAsiaTheme="minorEastAsia" w:hAnsiTheme="minorHAnsi" w:cstheme="minorBidi"/>
                <w:noProof/>
                <w:color w:val="auto"/>
                <w:sz w:val="22"/>
                <w:szCs w:val="22"/>
                <w:lang w:eastAsia="en-AU"/>
              </w:rPr>
              <w:tab/>
            </w:r>
            <w:r w:rsidR="00D236F0" w:rsidRPr="005C4EE2">
              <w:rPr>
                <w:rStyle w:val="Hyperlink"/>
                <w:noProof/>
                <w:lang w:val="en-US" w:eastAsia="en-AU"/>
              </w:rPr>
              <w:t>Expenditure on Income Support</w:t>
            </w:r>
            <w:r w:rsidR="00D236F0">
              <w:rPr>
                <w:noProof/>
                <w:webHidden/>
              </w:rPr>
              <w:tab/>
            </w:r>
            <w:r w:rsidR="00D236F0">
              <w:rPr>
                <w:noProof/>
                <w:webHidden/>
              </w:rPr>
              <w:fldChar w:fldCharType="begin"/>
            </w:r>
            <w:r w:rsidR="00D236F0">
              <w:rPr>
                <w:noProof/>
                <w:webHidden/>
              </w:rPr>
              <w:instrText xml:space="preserve"> PAGEREF _Toc379199680 \h </w:instrText>
            </w:r>
            <w:r w:rsidR="00D236F0">
              <w:rPr>
                <w:noProof/>
                <w:webHidden/>
              </w:rPr>
            </w:r>
            <w:r w:rsidR="00D236F0">
              <w:rPr>
                <w:noProof/>
                <w:webHidden/>
              </w:rPr>
              <w:fldChar w:fldCharType="separate"/>
            </w:r>
            <w:r w:rsidR="00D236F0">
              <w:rPr>
                <w:noProof/>
                <w:webHidden/>
              </w:rPr>
              <w:t>6</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81" w:history="1">
            <w:r w:rsidR="00D236F0" w:rsidRPr="005C4EE2">
              <w:rPr>
                <w:rStyle w:val="Hyperlink"/>
                <w:noProof/>
              </w:rPr>
              <w:t>Increase Newstart Allowance</w:t>
            </w:r>
            <w:r w:rsidR="00D236F0">
              <w:rPr>
                <w:noProof/>
                <w:webHidden/>
              </w:rPr>
              <w:tab/>
            </w:r>
            <w:r w:rsidR="00D236F0">
              <w:rPr>
                <w:noProof/>
                <w:webHidden/>
              </w:rPr>
              <w:fldChar w:fldCharType="begin"/>
            </w:r>
            <w:r w:rsidR="00D236F0">
              <w:rPr>
                <w:noProof/>
                <w:webHidden/>
              </w:rPr>
              <w:instrText xml:space="preserve"> PAGEREF _Toc379199681 \h </w:instrText>
            </w:r>
            <w:r w:rsidR="00D236F0">
              <w:rPr>
                <w:noProof/>
                <w:webHidden/>
              </w:rPr>
            </w:r>
            <w:r w:rsidR="00D236F0">
              <w:rPr>
                <w:noProof/>
                <w:webHidden/>
              </w:rPr>
              <w:fldChar w:fldCharType="separate"/>
            </w:r>
            <w:r w:rsidR="00D236F0">
              <w:rPr>
                <w:noProof/>
                <w:webHidden/>
              </w:rPr>
              <w:t>6</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82" w:history="1">
            <w:r w:rsidR="00D236F0" w:rsidRPr="005C4EE2">
              <w:rPr>
                <w:rStyle w:val="Hyperlink"/>
                <w:noProof/>
              </w:rPr>
              <w:t>Better indexation for allowances</w:t>
            </w:r>
            <w:r w:rsidR="00D236F0">
              <w:rPr>
                <w:noProof/>
                <w:webHidden/>
              </w:rPr>
              <w:tab/>
            </w:r>
            <w:r w:rsidR="00D236F0">
              <w:rPr>
                <w:noProof/>
                <w:webHidden/>
              </w:rPr>
              <w:fldChar w:fldCharType="begin"/>
            </w:r>
            <w:r w:rsidR="00D236F0">
              <w:rPr>
                <w:noProof/>
                <w:webHidden/>
              </w:rPr>
              <w:instrText xml:space="preserve"> PAGEREF _Toc379199682 \h </w:instrText>
            </w:r>
            <w:r w:rsidR="00D236F0">
              <w:rPr>
                <w:noProof/>
                <w:webHidden/>
              </w:rPr>
            </w:r>
            <w:r w:rsidR="00D236F0">
              <w:rPr>
                <w:noProof/>
                <w:webHidden/>
              </w:rPr>
              <w:fldChar w:fldCharType="separate"/>
            </w:r>
            <w:r w:rsidR="00D236F0">
              <w:rPr>
                <w:noProof/>
                <w:webHidden/>
              </w:rPr>
              <w:t>7</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83" w:history="1">
            <w:r w:rsidR="00D236F0" w:rsidRPr="005C4EE2">
              <w:rPr>
                <w:rStyle w:val="Hyperlink"/>
                <w:noProof/>
              </w:rPr>
              <w:t>Increase investment in employment assistance</w:t>
            </w:r>
            <w:r w:rsidR="00D236F0">
              <w:rPr>
                <w:noProof/>
                <w:webHidden/>
              </w:rPr>
              <w:tab/>
            </w:r>
            <w:r w:rsidR="00D236F0">
              <w:rPr>
                <w:noProof/>
                <w:webHidden/>
              </w:rPr>
              <w:fldChar w:fldCharType="begin"/>
            </w:r>
            <w:r w:rsidR="00D236F0">
              <w:rPr>
                <w:noProof/>
                <w:webHidden/>
              </w:rPr>
              <w:instrText xml:space="preserve"> PAGEREF _Toc379199683 \h </w:instrText>
            </w:r>
            <w:r w:rsidR="00D236F0">
              <w:rPr>
                <w:noProof/>
                <w:webHidden/>
              </w:rPr>
            </w:r>
            <w:r w:rsidR="00D236F0">
              <w:rPr>
                <w:noProof/>
                <w:webHidden/>
              </w:rPr>
              <w:fldChar w:fldCharType="separate"/>
            </w:r>
            <w:r w:rsidR="00D236F0">
              <w:rPr>
                <w:noProof/>
                <w:webHidden/>
              </w:rPr>
              <w:t>8</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84" w:history="1">
            <w:r w:rsidR="00D236F0" w:rsidRPr="005C4EE2">
              <w:rPr>
                <w:rStyle w:val="Hyperlink"/>
                <w:noProof/>
              </w:rPr>
              <w:t>Expand the wage subsidy program</w:t>
            </w:r>
            <w:r w:rsidR="00D236F0">
              <w:rPr>
                <w:noProof/>
                <w:webHidden/>
              </w:rPr>
              <w:tab/>
            </w:r>
            <w:r w:rsidR="00D236F0">
              <w:rPr>
                <w:noProof/>
                <w:webHidden/>
              </w:rPr>
              <w:fldChar w:fldCharType="begin"/>
            </w:r>
            <w:r w:rsidR="00D236F0">
              <w:rPr>
                <w:noProof/>
                <w:webHidden/>
              </w:rPr>
              <w:instrText xml:space="preserve"> PAGEREF _Toc379199684 \h </w:instrText>
            </w:r>
            <w:r w:rsidR="00D236F0">
              <w:rPr>
                <w:noProof/>
                <w:webHidden/>
              </w:rPr>
            </w:r>
            <w:r w:rsidR="00D236F0">
              <w:rPr>
                <w:noProof/>
                <w:webHidden/>
              </w:rPr>
              <w:fldChar w:fldCharType="separate"/>
            </w:r>
            <w:r w:rsidR="00D236F0">
              <w:rPr>
                <w:noProof/>
                <w:webHidden/>
              </w:rPr>
              <w:t>8</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85" w:history="1">
            <w:r w:rsidR="00D236F0" w:rsidRPr="005C4EE2">
              <w:rPr>
                <w:rStyle w:val="Hyperlink"/>
                <w:rFonts w:eastAsia="Times New Roman"/>
                <w:noProof/>
              </w:rPr>
              <w:t>Maintain the Income Support Bonus for people on low incomes</w:t>
            </w:r>
            <w:r w:rsidR="00D236F0">
              <w:rPr>
                <w:noProof/>
                <w:webHidden/>
              </w:rPr>
              <w:tab/>
            </w:r>
            <w:r w:rsidR="00D236F0">
              <w:rPr>
                <w:noProof/>
                <w:webHidden/>
              </w:rPr>
              <w:fldChar w:fldCharType="begin"/>
            </w:r>
            <w:r w:rsidR="00D236F0">
              <w:rPr>
                <w:noProof/>
                <w:webHidden/>
              </w:rPr>
              <w:instrText xml:space="preserve"> PAGEREF _Toc379199685 \h </w:instrText>
            </w:r>
            <w:r w:rsidR="00D236F0">
              <w:rPr>
                <w:noProof/>
                <w:webHidden/>
              </w:rPr>
            </w:r>
            <w:r w:rsidR="00D236F0">
              <w:rPr>
                <w:noProof/>
                <w:webHidden/>
              </w:rPr>
              <w:fldChar w:fldCharType="separate"/>
            </w:r>
            <w:r w:rsidR="00D236F0">
              <w:rPr>
                <w:noProof/>
                <w:webHidden/>
              </w:rPr>
              <w:t>10</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86" w:history="1">
            <w:r w:rsidR="00D236F0" w:rsidRPr="005C4EE2">
              <w:rPr>
                <w:rStyle w:val="Hyperlink"/>
                <w:noProof/>
              </w:rPr>
              <w:t>Increase Rent Assistance to improve housing affordability and reduce homelessness</w:t>
            </w:r>
            <w:r w:rsidR="00D236F0">
              <w:rPr>
                <w:noProof/>
                <w:webHidden/>
              </w:rPr>
              <w:tab/>
            </w:r>
            <w:r w:rsidR="00D236F0">
              <w:rPr>
                <w:noProof/>
                <w:webHidden/>
              </w:rPr>
              <w:fldChar w:fldCharType="begin"/>
            </w:r>
            <w:r w:rsidR="00D236F0">
              <w:rPr>
                <w:noProof/>
                <w:webHidden/>
              </w:rPr>
              <w:instrText xml:space="preserve"> PAGEREF _Toc379199686 \h </w:instrText>
            </w:r>
            <w:r w:rsidR="00D236F0">
              <w:rPr>
                <w:noProof/>
                <w:webHidden/>
              </w:rPr>
            </w:r>
            <w:r w:rsidR="00D236F0">
              <w:rPr>
                <w:noProof/>
                <w:webHidden/>
              </w:rPr>
              <w:fldChar w:fldCharType="separate"/>
            </w:r>
            <w:r w:rsidR="00D236F0">
              <w:rPr>
                <w:noProof/>
                <w:webHidden/>
              </w:rPr>
              <w:t>10</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87" w:history="1">
            <w:r w:rsidR="00D236F0" w:rsidRPr="005C4EE2">
              <w:rPr>
                <w:rStyle w:val="Hyperlink"/>
                <w:noProof/>
              </w:rPr>
              <w:t>Improve Indigenous Employment and Training programs</w:t>
            </w:r>
            <w:r w:rsidR="00D236F0">
              <w:rPr>
                <w:noProof/>
                <w:webHidden/>
              </w:rPr>
              <w:tab/>
            </w:r>
            <w:r w:rsidR="00D236F0">
              <w:rPr>
                <w:noProof/>
                <w:webHidden/>
              </w:rPr>
              <w:fldChar w:fldCharType="begin"/>
            </w:r>
            <w:r w:rsidR="00D236F0">
              <w:rPr>
                <w:noProof/>
                <w:webHidden/>
              </w:rPr>
              <w:instrText xml:space="preserve"> PAGEREF _Toc379199687 \h </w:instrText>
            </w:r>
            <w:r w:rsidR="00D236F0">
              <w:rPr>
                <w:noProof/>
                <w:webHidden/>
              </w:rPr>
            </w:r>
            <w:r w:rsidR="00D236F0">
              <w:rPr>
                <w:noProof/>
                <w:webHidden/>
              </w:rPr>
              <w:fldChar w:fldCharType="separate"/>
            </w:r>
            <w:r w:rsidR="00D236F0">
              <w:rPr>
                <w:noProof/>
                <w:webHidden/>
              </w:rPr>
              <w:t>12</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88" w:history="1">
            <w:r w:rsidR="00D236F0" w:rsidRPr="005C4EE2">
              <w:rPr>
                <w:rStyle w:val="Hyperlink"/>
                <w:noProof/>
              </w:rPr>
              <w:t>Improve Centrelink services</w:t>
            </w:r>
            <w:r w:rsidR="00D236F0">
              <w:rPr>
                <w:noProof/>
                <w:webHidden/>
              </w:rPr>
              <w:tab/>
            </w:r>
            <w:r w:rsidR="00D236F0">
              <w:rPr>
                <w:noProof/>
                <w:webHidden/>
              </w:rPr>
              <w:fldChar w:fldCharType="begin"/>
            </w:r>
            <w:r w:rsidR="00D236F0">
              <w:rPr>
                <w:noProof/>
                <w:webHidden/>
              </w:rPr>
              <w:instrText xml:space="preserve"> PAGEREF _Toc379199688 \h </w:instrText>
            </w:r>
            <w:r w:rsidR="00D236F0">
              <w:rPr>
                <w:noProof/>
                <w:webHidden/>
              </w:rPr>
            </w:r>
            <w:r w:rsidR="00D236F0">
              <w:rPr>
                <w:noProof/>
                <w:webHidden/>
              </w:rPr>
              <w:fldChar w:fldCharType="separate"/>
            </w:r>
            <w:r w:rsidR="00D236F0">
              <w:rPr>
                <w:noProof/>
                <w:webHidden/>
              </w:rPr>
              <w:t>13</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89" w:history="1">
            <w:r w:rsidR="00D236F0" w:rsidRPr="005C4EE2">
              <w:rPr>
                <w:rStyle w:val="Hyperlink"/>
                <w:noProof/>
              </w:rPr>
              <w:t>Supporting disadvantaged children receiving Special Benefit</w:t>
            </w:r>
            <w:r w:rsidR="00D236F0">
              <w:rPr>
                <w:noProof/>
                <w:webHidden/>
              </w:rPr>
              <w:tab/>
            </w:r>
            <w:r w:rsidR="00D236F0">
              <w:rPr>
                <w:noProof/>
                <w:webHidden/>
              </w:rPr>
              <w:fldChar w:fldCharType="begin"/>
            </w:r>
            <w:r w:rsidR="00D236F0">
              <w:rPr>
                <w:noProof/>
                <w:webHidden/>
              </w:rPr>
              <w:instrText xml:space="preserve"> PAGEREF _Toc379199689 \h </w:instrText>
            </w:r>
            <w:r w:rsidR="00D236F0">
              <w:rPr>
                <w:noProof/>
                <w:webHidden/>
              </w:rPr>
            </w:r>
            <w:r w:rsidR="00D236F0">
              <w:rPr>
                <w:noProof/>
                <w:webHidden/>
              </w:rPr>
              <w:fldChar w:fldCharType="separate"/>
            </w:r>
            <w:r w:rsidR="00D236F0">
              <w:rPr>
                <w:noProof/>
                <w:webHidden/>
              </w:rPr>
              <w:t>14</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90" w:history="1">
            <w:r w:rsidR="00D236F0" w:rsidRPr="005C4EE2">
              <w:rPr>
                <w:rStyle w:val="Hyperlink"/>
                <w:rFonts w:eastAsiaTheme="minorHAnsi"/>
                <w:noProof/>
              </w:rPr>
              <w:t>Restore limited exemptions from the newly arrived residents waiting period</w:t>
            </w:r>
            <w:r w:rsidR="00D236F0">
              <w:rPr>
                <w:noProof/>
                <w:webHidden/>
              </w:rPr>
              <w:tab/>
            </w:r>
            <w:r w:rsidR="00D236F0">
              <w:rPr>
                <w:noProof/>
                <w:webHidden/>
              </w:rPr>
              <w:fldChar w:fldCharType="begin"/>
            </w:r>
            <w:r w:rsidR="00D236F0">
              <w:rPr>
                <w:noProof/>
                <w:webHidden/>
              </w:rPr>
              <w:instrText xml:space="preserve"> PAGEREF _Toc379199690 \h </w:instrText>
            </w:r>
            <w:r w:rsidR="00D236F0">
              <w:rPr>
                <w:noProof/>
                <w:webHidden/>
              </w:rPr>
            </w:r>
            <w:r w:rsidR="00D236F0">
              <w:rPr>
                <w:noProof/>
                <w:webHidden/>
              </w:rPr>
              <w:fldChar w:fldCharType="separate"/>
            </w:r>
            <w:r w:rsidR="00D236F0">
              <w:rPr>
                <w:noProof/>
                <w:webHidden/>
              </w:rPr>
              <w:t>14</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91" w:history="1">
            <w:r w:rsidR="00D236F0" w:rsidRPr="005C4EE2">
              <w:rPr>
                <w:rStyle w:val="Hyperlink"/>
                <w:noProof/>
              </w:rPr>
              <w:t>Extend Special Benefit to vulnerable New Zealanders</w:t>
            </w:r>
            <w:r w:rsidR="00D236F0">
              <w:rPr>
                <w:noProof/>
                <w:webHidden/>
              </w:rPr>
              <w:tab/>
            </w:r>
            <w:r w:rsidR="00D236F0">
              <w:rPr>
                <w:noProof/>
                <w:webHidden/>
              </w:rPr>
              <w:fldChar w:fldCharType="begin"/>
            </w:r>
            <w:r w:rsidR="00D236F0">
              <w:rPr>
                <w:noProof/>
                <w:webHidden/>
              </w:rPr>
              <w:instrText xml:space="preserve"> PAGEREF _Toc379199691 \h </w:instrText>
            </w:r>
            <w:r w:rsidR="00D236F0">
              <w:rPr>
                <w:noProof/>
                <w:webHidden/>
              </w:rPr>
            </w:r>
            <w:r w:rsidR="00D236F0">
              <w:rPr>
                <w:noProof/>
                <w:webHidden/>
              </w:rPr>
              <w:fldChar w:fldCharType="separate"/>
            </w:r>
            <w:r w:rsidR="00D236F0">
              <w:rPr>
                <w:noProof/>
                <w:webHidden/>
              </w:rPr>
              <w:t>15</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92" w:history="1">
            <w:r w:rsidR="00D236F0" w:rsidRPr="005C4EE2">
              <w:rPr>
                <w:rStyle w:val="Hyperlink"/>
                <w:rFonts w:eastAsiaTheme="minorHAnsi"/>
                <w:noProof/>
              </w:rPr>
              <w:t>Fairer compensation preclusion rules</w:t>
            </w:r>
            <w:r w:rsidR="00D236F0">
              <w:rPr>
                <w:noProof/>
                <w:webHidden/>
              </w:rPr>
              <w:tab/>
            </w:r>
            <w:r w:rsidR="00D236F0">
              <w:rPr>
                <w:noProof/>
                <w:webHidden/>
              </w:rPr>
              <w:fldChar w:fldCharType="begin"/>
            </w:r>
            <w:r w:rsidR="00D236F0">
              <w:rPr>
                <w:noProof/>
                <w:webHidden/>
              </w:rPr>
              <w:instrText xml:space="preserve"> PAGEREF _Toc379199692 \h </w:instrText>
            </w:r>
            <w:r w:rsidR="00D236F0">
              <w:rPr>
                <w:noProof/>
                <w:webHidden/>
              </w:rPr>
            </w:r>
            <w:r w:rsidR="00D236F0">
              <w:rPr>
                <w:noProof/>
                <w:webHidden/>
              </w:rPr>
              <w:fldChar w:fldCharType="separate"/>
            </w:r>
            <w:r w:rsidR="00D236F0">
              <w:rPr>
                <w:noProof/>
                <w:webHidden/>
              </w:rPr>
              <w:t>15</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93" w:history="1">
            <w:r w:rsidR="00D236F0" w:rsidRPr="005C4EE2">
              <w:rPr>
                <w:rStyle w:val="Hyperlink"/>
                <w:noProof/>
              </w:rPr>
              <w:t>Extend exemptions from the ‘program of support’ rules</w:t>
            </w:r>
            <w:r w:rsidR="00D236F0">
              <w:rPr>
                <w:noProof/>
                <w:webHidden/>
              </w:rPr>
              <w:tab/>
            </w:r>
            <w:r w:rsidR="00D236F0">
              <w:rPr>
                <w:noProof/>
                <w:webHidden/>
              </w:rPr>
              <w:fldChar w:fldCharType="begin"/>
            </w:r>
            <w:r w:rsidR="00D236F0">
              <w:rPr>
                <w:noProof/>
                <w:webHidden/>
              </w:rPr>
              <w:instrText xml:space="preserve"> PAGEREF _Toc379199693 \h </w:instrText>
            </w:r>
            <w:r w:rsidR="00D236F0">
              <w:rPr>
                <w:noProof/>
                <w:webHidden/>
              </w:rPr>
            </w:r>
            <w:r w:rsidR="00D236F0">
              <w:rPr>
                <w:noProof/>
                <w:webHidden/>
              </w:rPr>
              <w:fldChar w:fldCharType="separate"/>
            </w:r>
            <w:r w:rsidR="00D236F0">
              <w:rPr>
                <w:noProof/>
                <w:webHidden/>
              </w:rPr>
              <w:t>16</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94" w:history="1">
            <w:r w:rsidR="00D236F0" w:rsidRPr="005C4EE2">
              <w:rPr>
                <w:rStyle w:val="Hyperlink"/>
                <w:noProof/>
              </w:rPr>
              <w:t>Increase homelessness services</w:t>
            </w:r>
            <w:r w:rsidR="00D236F0">
              <w:rPr>
                <w:noProof/>
                <w:webHidden/>
              </w:rPr>
              <w:tab/>
            </w:r>
            <w:r w:rsidR="00D236F0">
              <w:rPr>
                <w:noProof/>
                <w:webHidden/>
              </w:rPr>
              <w:fldChar w:fldCharType="begin"/>
            </w:r>
            <w:r w:rsidR="00D236F0">
              <w:rPr>
                <w:noProof/>
                <w:webHidden/>
              </w:rPr>
              <w:instrText xml:space="preserve"> PAGEREF _Toc379199694 \h </w:instrText>
            </w:r>
            <w:r w:rsidR="00D236F0">
              <w:rPr>
                <w:noProof/>
                <w:webHidden/>
              </w:rPr>
            </w:r>
            <w:r w:rsidR="00D236F0">
              <w:rPr>
                <w:noProof/>
                <w:webHidden/>
              </w:rPr>
              <w:fldChar w:fldCharType="separate"/>
            </w:r>
            <w:r w:rsidR="00D236F0">
              <w:rPr>
                <w:noProof/>
                <w:webHidden/>
              </w:rPr>
              <w:t>16</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95" w:history="1">
            <w:r w:rsidR="00D236F0" w:rsidRPr="005C4EE2">
              <w:rPr>
                <w:rStyle w:val="Hyperlink"/>
                <w:noProof/>
              </w:rPr>
              <w:t>Help for people with Centrelink and income support problems</w:t>
            </w:r>
            <w:r w:rsidR="00D236F0">
              <w:rPr>
                <w:noProof/>
                <w:webHidden/>
              </w:rPr>
              <w:tab/>
            </w:r>
            <w:r w:rsidR="00D236F0">
              <w:rPr>
                <w:noProof/>
                <w:webHidden/>
              </w:rPr>
              <w:fldChar w:fldCharType="begin"/>
            </w:r>
            <w:r w:rsidR="00D236F0">
              <w:rPr>
                <w:noProof/>
                <w:webHidden/>
              </w:rPr>
              <w:instrText xml:space="preserve"> PAGEREF _Toc379199695 \h </w:instrText>
            </w:r>
            <w:r w:rsidR="00D236F0">
              <w:rPr>
                <w:noProof/>
                <w:webHidden/>
              </w:rPr>
            </w:r>
            <w:r w:rsidR="00D236F0">
              <w:rPr>
                <w:noProof/>
                <w:webHidden/>
              </w:rPr>
              <w:fldChar w:fldCharType="separate"/>
            </w:r>
            <w:r w:rsidR="00D236F0">
              <w:rPr>
                <w:noProof/>
                <w:webHidden/>
              </w:rPr>
              <w:t>16</w:t>
            </w:r>
            <w:r w:rsidR="00D236F0">
              <w:rPr>
                <w:noProof/>
                <w:webHidden/>
              </w:rPr>
              <w:fldChar w:fldCharType="end"/>
            </w:r>
          </w:hyperlink>
        </w:p>
        <w:p w:rsidR="00D236F0" w:rsidRDefault="00073A16">
          <w:pPr>
            <w:pStyle w:val="TOC2"/>
            <w:tabs>
              <w:tab w:val="left" w:pos="1320"/>
              <w:tab w:val="right" w:leader="dot" w:pos="9323"/>
            </w:tabs>
            <w:rPr>
              <w:rFonts w:asciiTheme="minorHAnsi" w:eastAsiaTheme="minorEastAsia" w:hAnsiTheme="minorHAnsi" w:cstheme="minorBidi"/>
              <w:noProof/>
              <w:color w:val="auto"/>
              <w:sz w:val="22"/>
              <w:szCs w:val="22"/>
              <w:lang w:eastAsia="en-AU"/>
            </w:rPr>
          </w:pPr>
          <w:hyperlink w:anchor="_Toc379199696" w:history="1">
            <w:r w:rsidR="00D236F0" w:rsidRPr="005C4EE2">
              <w:rPr>
                <w:rStyle w:val="Hyperlink"/>
                <w:noProof/>
              </w:rPr>
              <w:t xml:space="preserve">PART 2 </w:t>
            </w:r>
            <w:r w:rsidR="00D236F0">
              <w:rPr>
                <w:rFonts w:asciiTheme="minorHAnsi" w:eastAsiaTheme="minorEastAsia" w:hAnsiTheme="minorHAnsi" w:cstheme="minorBidi"/>
                <w:noProof/>
                <w:color w:val="auto"/>
                <w:sz w:val="22"/>
                <w:szCs w:val="22"/>
                <w:lang w:eastAsia="en-AU"/>
              </w:rPr>
              <w:tab/>
            </w:r>
            <w:r w:rsidR="00D236F0" w:rsidRPr="005C4EE2">
              <w:rPr>
                <w:rStyle w:val="Hyperlink"/>
                <w:noProof/>
              </w:rPr>
              <w:t>SAVINGS MEASURES</w:t>
            </w:r>
            <w:r w:rsidR="00D236F0">
              <w:rPr>
                <w:noProof/>
                <w:webHidden/>
              </w:rPr>
              <w:tab/>
            </w:r>
            <w:r w:rsidR="00D236F0">
              <w:rPr>
                <w:noProof/>
                <w:webHidden/>
              </w:rPr>
              <w:fldChar w:fldCharType="begin"/>
            </w:r>
            <w:r w:rsidR="00D236F0">
              <w:rPr>
                <w:noProof/>
                <w:webHidden/>
              </w:rPr>
              <w:instrText xml:space="preserve"> PAGEREF _Toc379199696 \h </w:instrText>
            </w:r>
            <w:r w:rsidR="00D236F0">
              <w:rPr>
                <w:noProof/>
                <w:webHidden/>
              </w:rPr>
            </w:r>
            <w:r w:rsidR="00D236F0">
              <w:rPr>
                <w:noProof/>
                <w:webHidden/>
              </w:rPr>
              <w:fldChar w:fldCharType="separate"/>
            </w:r>
            <w:r w:rsidR="00D236F0">
              <w:rPr>
                <w:noProof/>
                <w:webHidden/>
              </w:rPr>
              <w:t>17</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97" w:history="1">
            <w:r w:rsidR="00D236F0" w:rsidRPr="005C4EE2">
              <w:rPr>
                <w:rStyle w:val="Hyperlink"/>
                <w:noProof/>
              </w:rPr>
              <w:t>Introduction: review into taxation and family payments required</w:t>
            </w:r>
            <w:r w:rsidR="00D236F0">
              <w:rPr>
                <w:noProof/>
                <w:webHidden/>
              </w:rPr>
              <w:tab/>
            </w:r>
            <w:r w:rsidR="00D236F0">
              <w:rPr>
                <w:noProof/>
                <w:webHidden/>
              </w:rPr>
              <w:fldChar w:fldCharType="begin"/>
            </w:r>
            <w:r w:rsidR="00D236F0">
              <w:rPr>
                <w:noProof/>
                <w:webHidden/>
              </w:rPr>
              <w:instrText xml:space="preserve"> PAGEREF _Toc379199697 \h </w:instrText>
            </w:r>
            <w:r w:rsidR="00D236F0">
              <w:rPr>
                <w:noProof/>
                <w:webHidden/>
              </w:rPr>
            </w:r>
            <w:r w:rsidR="00D236F0">
              <w:rPr>
                <w:noProof/>
                <w:webHidden/>
              </w:rPr>
              <w:fldChar w:fldCharType="separate"/>
            </w:r>
            <w:r w:rsidR="00D236F0">
              <w:rPr>
                <w:noProof/>
                <w:webHidden/>
              </w:rPr>
              <w:t>17</w:t>
            </w:r>
            <w:r w:rsidR="00D236F0">
              <w:rPr>
                <w:noProof/>
                <w:webHidden/>
              </w:rPr>
              <w:fldChar w:fldCharType="end"/>
            </w:r>
          </w:hyperlink>
        </w:p>
        <w:p w:rsidR="00D236F0" w:rsidRDefault="00073A16">
          <w:pPr>
            <w:pStyle w:val="TOC2"/>
            <w:tabs>
              <w:tab w:val="right" w:leader="dot" w:pos="9323"/>
            </w:tabs>
            <w:rPr>
              <w:rFonts w:asciiTheme="minorHAnsi" w:eastAsiaTheme="minorEastAsia" w:hAnsiTheme="minorHAnsi" w:cstheme="minorBidi"/>
              <w:noProof/>
              <w:color w:val="auto"/>
              <w:sz w:val="22"/>
              <w:szCs w:val="22"/>
              <w:lang w:eastAsia="en-AU"/>
            </w:rPr>
          </w:pPr>
          <w:hyperlink w:anchor="_Toc379199698" w:history="1">
            <w:r w:rsidR="00D236F0" w:rsidRPr="005C4EE2">
              <w:rPr>
                <w:rStyle w:val="Hyperlink"/>
                <w:noProof/>
              </w:rPr>
              <w:t>Social security and family assistance savings options</w:t>
            </w:r>
            <w:r w:rsidR="00D236F0">
              <w:rPr>
                <w:noProof/>
                <w:webHidden/>
              </w:rPr>
              <w:tab/>
            </w:r>
            <w:r w:rsidR="00D236F0">
              <w:rPr>
                <w:noProof/>
                <w:webHidden/>
              </w:rPr>
              <w:fldChar w:fldCharType="begin"/>
            </w:r>
            <w:r w:rsidR="00D236F0">
              <w:rPr>
                <w:noProof/>
                <w:webHidden/>
              </w:rPr>
              <w:instrText xml:space="preserve"> PAGEREF _Toc379199698 \h </w:instrText>
            </w:r>
            <w:r w:rsidR="00D236F0">
              <w:rPr>
                <w:noProof/>
                <w:webHidden/>
              </w:rPr>
            </w:r>
            <w:r w:rsidR="00D236F0">
              <w:rPr>
                <w:noProof/>
                <w:webHidden/>
              </w:rPr>
              <w:fldChar w:fldCharType="separate"/>
            </w:r>
            <w:r w:rsidR="00D236F0">
              <w:rPr>
                <w:noProof/>
                <w:webHidden/>
              </w:rPr>
              <w:t>18</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699" w:history="1">
            <w:r w:rsidR="00D236F0" w:rsidRPr="005C4EE2">
              <w:rPr>
                <w:rStyle w:val="Hyperlink"/>
                <w:noProof/>
              </w:rPr>
              <w:t>Income Management</w:t>
            </w:r>
            <w:r w:rsidR="00D236F0">
              <w:rPr>
                <w:noProof/>
                <w:webHidden/>
              </w:rPr>
              <w:tab/>
            </w:r>
            <w:r w:rsidR="00D236F0">
              <w:rPr>
                <w:noProof/>
                <w:webHidden/>
              </w:rPr>
              <w:fldChar w:fldCharType="begin"/>
            </w:r>
            <w:r w:rsidR="00D236F0">
              <w:rPr>
                <w:noProof/>
                <w:webHidden/>
              </w:rPr>
              <w:instrText xml:space="preserve"> PAGEREF _Toc379199699 \h </w:instrText>
            </w:r>
            <w:r w:rsidR="00D236F0">
              <w:rPr>
                <w:noProof/>
                <w:webHidden/>
              </w:rPr>
            </w:r>
            <w:r w:rsidR="00D236F0">
              <w:rPr>
                <w:noProof/>
                <w:webHidden/>
              </w:rPr>
              <w:fldChar w:fldCharType="separate"/>
            </w:r>
            <w:r w:rsidR="00D236F0">
              <w:rPr>
                <w:noProof/>
                <w:webHidden/>
              </w:rPr>
              <w:t>18</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700" w:history="1">
            <w:r w:rsidR="00D236F0" w:rsidRPr="005C4EE2">
              <w:rPr>
                <w:rStyle w:val="Hyperlink"/>
                <w:noProof/>
              </w:rPr>
              <w:t>Abolish the Seniors Supplement</w:t>
            </w:r>
            <w:r w:rsidR="00D236F0">
              <w:rPr>
                <w:noProof/>
                <w:webHidden/>
              </w:rPr>
              <w:tab/>
            </w:r>
            <w:r w:rsidR="00D236F0">
              <w:rPr>
                <w:noProof/>
                <w:webHidden/>
              </w:rPr>
              <w:fldChar w:fldCharType="begin"/>
            </w:r>
            <w:r w:rsidR="00D236F0">
              <w:rPr>
                <w:noProof/>
                <w:webHidden/>
              </w:rPr>
              <w:instrText xml:space="preserve"> PAGEREF _Toc379199700 \h </w:instrText>
            </w:r>
            <w:r w:rsidR="00D236F0">
              <w:rPr>
                <w:noProof/>
                <w:webHidden/>
              </w:rPr>
            </w:r>
            <w:r w:rsidR="00D236F0">
              <w:rPr>
                <w:noProof/>
                <w:webHidden/>
              </w:rPr>
              <w:fldChar w:fldCharType="separate"/>
            </w:r>
            <w:r w:rsidR="00D236F0">
              <w:rPr>
                <w:noProof/>
                <w:webHidden/>
              </w:rPr>
              <w:t>19</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701" w:history="1">
            <w:r w:rsidR="00D236F0" w:rsidRPr="005C4EE2">
              <w:rPr>
                <w:rStyle w:val="Hyperlink"/>
                <w:noProof/>
              </w:rPr>
              <w:t>Reform the pension assets test</w:t>
            </w:r>
            <w:r w:rsidR="00D236F0">
              <w:rPr>
                <w:noProof/>
                <w:webHidden/>
              </w:rPr>
              <w:tab/>
            </w:r>
            <w:r w:rsidR="00D236F0">
              <w:rPr>
                <w:noProof/>
                <w:webHidden/>
              </w:rPr>
              <w:fldChar w:fldCharType="begin"/>
            </w:r>
            <w:r w:rsidR="00D236F0">
              <w:rPr>
                <w:noProof/>
                <w:webHidden/>
              </w:rPr>
              <w:instrText xml:space="preserve"> PAGEREF _Toc379199701 \h </w:instrText>
            </w:r>
            <w:r w:rsidR="00D236F0">
              <w:rPr>
                <w:noProof/>
                <w:webHidden/>
              </w:rPr>
            </w:r>
            <w:r w:rsidR="00D236F0">
              <w:rPr>
                <w:noProof/>
                <w:webHidden/>
              </w:rPr>
              <w:fldChar w:fldCharType="separate"/>
            </w:r>
            <w:r w:rsidR="00D236F0">
              <w:rPr>
                <w:noProof/>
                <w:webHidden/>
              </w:rPr>
              <w:t>19</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702" w:history="1">
            <w:r w:rsidR="00D236F0" w:rsidRPr="005C4EE2">
              <w:rPr>
                <w:rStyle w:val="Hyperlink"/>
                <w:noProof/>
              </w:rPr>
              <w:t>Combine Family Tax Benefit Parts A and B into a single payment</w:t>
            </w:r>
            <w:r w:rsidR="00D236F0">
              <w:rPr>
                <w:noProof/>
                <w:webHidden/>
              </w:rPr>
              <w:tab/>
            </w:r>
            <w:r w:rsidR="00D236F0">
              <w:rPr>
                <w:noProof/>
                <w:webHidden/>
              </w:rPr>
              <w:fldChar w:fldCharType="begin"/>
            </w:r>
            <w:r w:rsidR="00D236F0">
              <w:rPr>
                <w:noProof/>
                <w:webHidden/>
              </w:rPr>
              <w:instrText xml:space="preserve"> PAGEREF _Toc379199702 \h </w:instrText>
            </w:r>
            <w:r w:rsidR="00D236F0">
              <w:rPr>
                <w:noProof/>
                <w:webHidden/>
              </w:rPr>
            </w:r>
            <w:r w:rsidR="00D236F0">
              <w:rPr>
                <w:noProof/>
                <w:webHidden/>
              </w:rPr>
              <w:fldChar w:fldCharType="separate"/>
            </w:r>
            <w:r w:rsidR="00D236F0">
              <w:rPr>
                <w:noProof/>
                <w:webHidden/>
              </w:rPr>
              <w:t>20</w:t>
            </w:r>
            <w:r w:rsidR="00D236F0">
              <w:rPr>
                <w:noProof/>
                <w:webHidden/>
              </w:rPr>
              <w:fldChar w:fldCharType="end"/>
            </w:r>
          </w:hyperlink>
        </w:p>
        <w:p w:rsidR="00D236F0" w:rsidRDefault="00073A16">
          <w:pPr>
            <w:pStyle w:val="TOC2"/>
            <w:tabs>
              <w:tab w:val="right" w:leader="dot" w:pos="9323"/>
            </w:tabs>
            <w:rPr>
              <w:rFonts w:asciiTheme="minorHAnsi" w:eastAsiaTheme="minorEastAsia" w:hAnsiTheme="minorHAnsi" w:cstheme="minorBidi"/>
              <w:noProof/>
              <w:color w:val="auto"/>
              <w:sz w:val="22"/>
              <w:szCs w:val="22"/>
              <w:lang w:eastAsia="en-AU"/>
            </w:rPr>
          </w:pPr>
          <w:hyperlink w:anchor="_Toc379199703" w:history="1">
            <w:r w:rsidR="00D236F0" w:rsidRPr="005C4EE2">
              <w:rPr>
                <w:rStyle w:val="Hyperlink"/>
                <w:noProof/>
              </w:rPr>
              <w:t>A more sustainable Paid Parental Leave (PPL) scheme</w:t>
            </w:r>
            <w:r w:rsidR="00D236F0">
              <w:rPr>
                <w:noProof/>
                <w:webHidden/>
              </w:rPr>
              <w:tab/>
            </w:r>
            <w:r w:rsidR="00D236F0">
              <w:rPr>
                <w:noProof/>
                <w:webHidden/>
              </w:rPr>
              <w:fldChar w:fldCharType="begin"/>
            </w:r>
            <w:r w:rsidR="00D236F0">
              <w:rPr>
                <w:noProof/>
                <w:webHidden/>
              </w:rPr>
              <w:instrText xml:space="preserve"> PAGEREF _Toc379199703 \h </w:instrText>
            </w:r>
            <w:r w:rsidR="00D236F0">
              <w:rPr>
                <w:noProof/>
                <w:webHidden/>
              </w:rPr>
            </w:r>
            <w:r w:rsidR="00D236F0">
              <w:rPr>
                <w:noProof/>
                <w:webHidden/>
              </w:rPr>
              <w:fldChar w:fldCharType="separate"/>
            </w:r>
            <w:r w:rsidR="00D236F0">
              <w:rPr>
                <w:noProof/>
                <w:webHidden/>
              </w:rPr>
              <w:t>21</w:t>
            </w:r>
            <w:r w:rsidR="00D236F0">
              <w:rPr>
                <w:noProof/>
                <w:webHidden/>
              </w:rPr>
              <w:fldChar w:fldCharType="end"/>
            </w:r>
          </w:hyperlink>
        </w:p>
        <w:p w:rsidR="00D236F0" w:rsidRDefault="00073A16">
          <w:pPr>
            <w:pStyle w:val="TOC2"/>
            <w:tabs>
              <w:tab w:val="right" w:leader="dot" w:pos="9323"/>
            </w:tabs>
            <w:rPr>
              <w:rFonts w:asciiTheme="minorHAnsi" w:eastAsiaTheme="minorEastAsia" w:hAnsiTheme="minorHAnsi" w:cstheme="minorBidi"/>
              <w:noProof/>
              <w:color w:val="auto"/>
              <w:sz w:val="22"/>
              <w:szCs w:val="22"/>
              <w:lang w:eastAsia="en-AU"/>
            </w:rPr>
          </w:pPr>
          <w:hyperlink w:anchor="_Toc379199704" w:history="1">
            <w:r w:rsidR="00D236F0" w:rsidRPr="005C4EE2">
              <w:rPr>
                <w:rStyle w:val="Hyperlink"/>
                <w:noProof/>
              </w:rPr>
              <w:t>Tax and Revenue savings</w:t>
            </w:r>
            <w:r w:rsidR="00D236F0">
              <w:rPr>
                <w:noProof/>
                <w:webHidden/>
              </w:rPr>
              <w:tab/>
            </w:r>
            <w:r w:rsidR="00D236F0">
              <w:rPr>
                <w:noProof/>
                <w:webHidden/>
              </w:rPr>
              <w:fldChar w:fldCharType="begin"/>
            </w:r>
            <w:r w:rsidR="00D236F0">
              <w:rPr>
                <w:noProof/>
                <w:webHidden/>
              </w:rPr>
              <w:instrText xml:space="preserve"> PAGEREF _Toc379199704 \h </w:instrText>
            </w:r>
            <w:r w:rsidR="00D236F0">
              <w:rPr>
                <w:noProof/>
                <w:webHidden/>
              </w:rPr>
            </w:r>
            <w:r w:rsidR="00D236F0">
              <w:rPr>
                <w:noProof/>
                <w:webHidden/>
              </w:rPr>
              <w:fldChar w:fldCharType="separate"/>
            </w:r>
            <w:r w:rsidR="00D236F0">
              <w:rPr>
                <w:noProof/>
                <w:webHidden/>
              </w:rPr>
              <w:t>21</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705" w:history="1">
            <w:r w:rsidR="00D236F0" w:rsidRPr="005C4EE2">
              <w:rPr>
                <w:rStyle w:val="Hyperlink"/>
                <w:noProof/>
              </w:rPr>
              <w:t>Reduce the annual cap on concessionally- taxed superannuation contributions</w:t>
            </w:r>
            <w:r w:rsidR="00D236F0">
              <w:rPr>
                <w:noProof/>
                <w:webHidden/>
              </w:rPr>
              <w:tab/>
            </w:r>
            <w:r w:rsidR="00D236F0">
              <w:rPr>
                <w:noProof/>
                <w:webHidden/>
              </w:rPr>
              <w:fldChar w:fldCharType="begin"/>
            </w:r>
            <w:r w:rsidR="00D236F0">
              <w:rPr>
                <w:noProof/>
                <w:webHidden/>
              </w:rPr>
              <w:instrText xml:space="preserve"> PAGEREF _Toc379199705 \h </w:instrText>
            </w:r>
            <w:r w:rsidR="00D236F0">
              <w:rPr>
                <w:noProof/>
                <w:webHidden/>
              </w:rPr>
            </w:r>
            <w:r w:rsidR="00D236F0">
              <w:rPr>
                <w:noProof/>
                <w:webHidden/>
              </w:rPr>
              <w:fldChar w:fldCharType="separate"/>
            </w:r>
            <w:r w:rsidR="00D236F0">
              <w:rPr>
                <w:noProof/>
                <w:webHidden/>
              </w:rPr>
              <w:t>21</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706" w:history="1">
            <w:r w:rsidR="00D236F0" w:rsidRPr="005C4EE2">
              <w:rPr>
                <w:rStyle w:val="Hyperlink"/>
                <w:noProof/>
              </w:rPr>
              <w:t>Limit use of private tax as a tax minimisation vehicle</w:t>
            </w:r>
            <w:r w:rsidR="00D236F0">
              <w:rPr>
                <w:noProof/>
                <w:webHidden/>
              </w:rPr>
              <w:tab/>
            </w:r>
            <w:r w:rsidR="00D236F0">
              <w:rPr>
                <w:noProof/>
                <w:webHidden/>
              </w:rPr>
              <w:fldChar w:fldCharType="begin"/>
            </w:r>
            <w:r w:rsidR="00D236F0">
              <w:rPr>
                <w:noProof/>
                <w:webHidden/>
              </w:rPr>
              <w:instrText xml:space="preserve"> PAGEREF _Toc379199706 \h </w:instrText>
            </w:r>
            <w:r w:rsidR="00D236F0">
              <w:rPr>
                <w:noProof/>
                <w:webHidden/>
              </w:rPr>
            </w:r>
            <w:r w:rsidR="00D236F0">
              <w:rPr>
                <w:noProof/>
                <w:webHidden/>
              </w:rPr>
              <w:fldChar w:fldCharType="separate"/>
            </w:r>
            <w:r w:rsidR="00D236F0">
              <w:rPr>
                <w:noProof/>
                <w:webHidden/>
              </w:rPr>
              <w:t>22</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707" w:history="1">
            <w:r w:rsidR="00D236F0" w:rsidRPr="005C4EE2">
              <w:rPr>
                <w:rStyle w:val="Hyperlink"/>
                <w:noProof/>
              </w:rPr>
              <w:t>Greater scrutiny of business taxation expenditures</w:t>
            </w:r>
            <w:r w:rsidR="00D236F0">
              <w:rPr>
                <w:noProof/>
                <w:webHidden/>
              </w:rPr>
              <w:tab/>
            </w:r>
            <w:r w:rsidR="00D236F0">
              <w:rPr>
                <w:noProof/>
                <w:webHidden/>
              </w:rPr>
              <w:fldChar w:fldCharType="begin"/>
            </w:r>
            <w:r w:rsidR="00D236F0">
              <w:rPr>
                <w:noProof/>
                <w:webHidden/>
              </w:rPr>
              <w:instrText xml:space="preserve"> PAGEREF _Toc379199707 \h </w:instrText>
            </w:r>
            <w:r w:rsidR="00D236F0">
              <w:rPr>
                <w:noProof/>
                <w:webHidden/>
              </w:rPr>
            </w:r>
            <w:r w:rsidR="00D236F0">
              <w:rPr>
                <w:noProof/>
                <w:webHidden/>
              </w:rPr>
              <w:fldChar w:fldCharType="separate"/>
            </w:r>
            <w:r w:rsidR="00D236F0">
              <w:rPr>
                <w:noProof/>
                <w:webHidden/>
              </w:rPr>
              <w:t>22</w:t>
            </w:r>
            <w:r w:rsidR="00D236F0">
              <w:rPr>
                <w:noProof/>
                <w:webHidden/>
              </w:rPr>
              <w:fldChar w:fldCharType="end"/>
            </w:r>
          </w:hyperlink>
        </w:p>
        <w:p w:rsidR="00D236F0" w:rsidRDefault="00073A16">
          <w:pPr>
            <w:pStyle w:val="TOC3"/>
            <w:tabs>
              <w:tab w:val="right" w:leader="dot" w:pos="9323"/>
            </w:tabs>
            <w:rPr>
              <w:rFonts w:asciiTheme="minorHAnsi" w:eastAsiaTheme="minorEastAsia" w:hAnsiTheme="minorHAnsi" w:cstheme="minorBidi"/>
              <w:noProof/>
              <w:color w:val="auto"/>
              <w:sz w:val="22"/>
              <w:szCs w:val="22"/>
              <w:lang w:eastAsia="en-AU"/>
            </w:rPr>
          </w:pPr>
          <w:hyperlink w:anchor="_Toc379199708" w:history="1">
            <w:r w:rsidR="00D236F0" w:rsidRPr="005C4EE2">
              <w:rPr>
                <w:rStyle w:val="Hyperlink"/>
                <w:bCs/>
                <w:noProof/>
              </w:rPr>
              <w:t>Negative gearing</w:t>
            </w:r>
            <w:r w:rsidR="00D236F0">
              <w:rPr>
                <w:noProof/>
                <w:webHidden/>
              </w:rPr>
              <w:tab/>
            </w:r>
            <w:r w:rsidR="00D236F0">
              <w:rPr>
                <w:noProof/>
                <w:webHidden/>
              </w:rPr>
              <w:fldChar w:fldCharType="begin"/>
            </w:r>
            <w:r w:rsidR="00D236F0">
              <w:rPr>
                <w:noProof/>
                <w:webHidden/>
              </w:rPr>
              <w:instrText xml:space="preserve"> PAGEREF _Toc379199708 \h </w:instrText>
            </w:r>
            <w:r w:rsidR="00D236F0">
              <w:rPr>
                <w:noProof/>
                <w:webHidden/>
              </w:rPr>
            </w:r>
            <w:r w:rsidR="00D236F0">
              <w:rPr>
                <w:noProof/>
                <w:webHidden/>
              </w:rPr>
              <w:fldChar w:fldCharType="separate"/>
            </w:r>
            <w:r w:rsidR="00D236F0">
              <w:rPr>
                <w:noProof/>
                <w:webHidden/>
              </w:rPr>
              <w:t>22</w:t>
            </w:r>
            <w:r w:rsidR="00D236F0">
              <w:rPr>
                <w:noProof/>
                <w:webHidden/>
              </w:rPr>
              <w:fldChar w:fldCharType="end"/>
            </w:r>
          </w:hyperlink>
        </w:p>
        <w:p w:rsidR="00D236F0" w:rsidRDefault="00073A16">
          <w:pPr>
            <w:pStyle w:val="TOC2"/>
            <w:tabs>
              <w:tab w:val="right" w:leader="dot" w:pos="9323"/>
            </w:tabs>
            <w:rPr>
              <w:rFonts w:asciiTheme="minorHAnsi" w:eastAsiaTheme="minorEastAsia" w:hAnsiTheme="minorHAnsi" w:cstheme="minorBidi"/>
              <w:noProof/>
              <w:color w:val="auto"/>
              <w:sz w:val="22"/>
              <w:szCs w:val="22"/>
              <w:lang w:eastAsia="en-AU"/>
            </w:rPr>
          </w:pPr>
          <w:hyperlink w:anchor="_Toc379199709" w:history="1">
            <w:r w:rsidR="00D236F0" w:rsidRPr="005C4EE2">
              <w:rPr>
                <w:rStyle w:val="Hyperlink"/>
                <w:noProof/>
              </w:rPr>
              <w:t>Superannuation savings</w:t>
            </w:r>
            <w:r w:rsidR="00D236F0">
              <w:rPr>
                <w:noProof/>
                <w:webHidden/>
              </w:rPr>
              <w:tab/>
            </w:r>
            <w:r w:rsidR="00D236F0">
              <w:rPr>
                <w:noProof/>
                <w:webHidden/>
              </w:rPr>
              <w:fldChar w:fldCharType="begin"/>
            </w:r>
            <w:r w:rsidR="00D236F0">
              <w:rPr>
                <w:noProof/>
                <w:webHidden/>
              </w:rPr>
              <w:instrText xml:space="preserve"> PAGEREF _Toc379199709 \h </w:instrText>
            </w:r>
            <w:r w:rsidR="00D236F0">
              <w:rPr>
                <w:noProof/>
                <w:webHidden/>
              </w:rPr>
            </w:r>
            <w:r w:rsidR="00D236F0">
              <w:rPr>
                <w:noProof/>
                <w:webHidden/>
              </w:rPr>
              <w:fldChar w:fldCharType="separate"/>
            </w:r>
            <w:r w:rsidR="00D236F0">
              <w:rPr>
                <w:noProof/>
                <w:webHidden/>
              </w:rPr>
              <w:t>23</w:t>
            </w:r>
            <w:r w:rsidR="00D236F0">
              <w:rPr>
                <w:noProof/>
                <w:webHidden/>
              </w:rPr>
              <w:fldChar w:fldCharType="end"/>
            </w:r>
          </w:hyperlink>
        </w:p>
        <w:p w:rsidR="00F64E9E" w:rsidRDefault="00F64E9E">
          <w:r>
            <w:rPr>
              <w:b/>
              <w:bCs/>
              <w:noProof/>
            </w:rPr>
            <w:fldChar w:fldCharType="end"/>
          </w:r>
        </w:p>
      </w:sdtContent>
    </w:sdt>
    <w:p w:rsidR="00B67CA3" w:rsidRDefault="00B67CA3" w:rsidP="00D655ED">
      <w:pPr>
        <w:jc w:val="both"/>
        <w:rPr>
          <w:rFonts w:asciiTheme="minorHAnsi" w:hAnsiTheme="minorHAnsi" w:cstheme="minorHAnsi"/>
          <w:sz w:val="22"/>
          <w:lang w:eastAsia="en-AU"/>
        </w:rPr>
      </w:pPr>
    </w:p>
    <w:p w:rsidR="00B67CA3" w:rsidRDefault="00B67CA3" w:rsidP="00D655ED">
      <w:pPr>
        <w:jc w:val="both"/>
        <w:rPr>
          <w:rFonts w:asciiTheme="minorHAnsi" w:hAnsiTheme="minorHAnsi" w:cstheme="minorHAnsi"/>
          <w:sz w:val="22"/>
          <w:lang w:eastAsia="en-AU"/>
        </w:rPr>
      </w:pPr>
    </w:p>
    <w:p w:rsidR="003075EF" w:rsidRDefault="006F28B1" w:rsidP="00D45B96">
      <w:pPr>
        <w:pStyle w:val="Heading3"/>
      </w:pPr>
      <w:r>
        <w:br w:type="page"/>
      </w:r>
      <w:bookmarkStart w:id="1" w:name="_Toc379199677"/>
      <w:r w:rsidR="003075EF">
        <w:lastRenderedPageBreak/>
        <w:t>Executive Summary</w:t>
      </w:r>
      <w:bookmarkEnd w:id="1"/>
    </w:p>
    <w:p w:rsidR="00D45B96" w:rsidRDefault="00D45B96" w:rsidP="00CC02BB">
      <w:pPr>
        <w:rPr>
          <w:rFonts w:asciiTheme="minorHAnsi" w:hAnsiTheme="minorHAnsi" w:cstheme="minorHAnsi"/>
          <w:sz w:val="22"/>
          <w:lang w:eastAsia="en-AU"/>
        </w:rPr>
      </w:pPr>
    </w:p>
    <w:p w:rsidR="00D655ED" w:rsidRPr="00BA1215" w:rsidRDefault="00D655ED" w:rsidP="00CC02BB">
      <w:pPr>
        <w:rPr>
          <w:rFonts w:asciiTheme="minorHAnsi" w:hAnsiTheme="minorHAnsi" w:cstheme="minorHAnsi"/>
          <w:sz w:val="22"/>
          <w:lang w:eastAsia="en-AU"/>
        </w:rPr>
      </w:pPr>
      <w:r w:rsidRPr="00BA1215">
        <w:rPr>
          <w:rFonts w:asciiTheme="minorHAnsi" w:hAnsiTheme="minorHAnsi" w:cstheme="minorHAnsi"/>
          <w:sz w:val="22"/>
          <w:lang w:eastAsia="en-AU"/>
        </w:rPr>
        <w:t xml:space="preserve">In this submission the National Welfare Rights Network (NWRN) makes </w:t>
      </w:r>
      <w:r w:rsidR="00D45B96">
        <w:rPr>
          <w:rFonts w:asciiTheme="minorHAnsi" w:hAnsiTheme="minorHAnsi" w:cstheme="minorHAnsi"/>
          <w:sz w:val="22"/>
          <w:lang w:eastAsia="en-AU"/>
        </w:rPr>
        <w:t>28</w:t>
      </w:r>
      <w:r w:rsidRPr="00BA1215">
        <w:rPr>
          <w:rFonts w:asciiTheme="minorHAnsi" w:hAnsiTheme="minorHAnsi" w:cstheme="minorHAnsi"/>
          <w:sz w:val="22"/>
          <w:lang w:eastAsia="en-AU"/>
        </w:rPr>
        <w:t xml:space="preserve"> recommendations for the </w:t>
      </w:r>
      <w:r w:rsidR="00FD2125" w:rsidRPr="00D45B96">
        <w:rPr>
          <w:rFonts w:asciiTheme="minorHAnsi" w:hAnsiTheme="minorHAnsi" w:cstheme="minorHAnsi"/>
          <w:sz w:val="22"/>
          <w:lang w:eastAsia="en-AU"/>
        </w:rPr>
        <w:t xml:space="preserve">2014-15 </w:t>
      </w:r>
      <w:r w:rsidR="00D45B96" w:rsidRPr="00D45B96">
        <w:rPr>
          <w:rFonts w:asciiTheme="minorHAnsi" w:hAnsiTheme="minorHAnsi" w:cstheme="minorHAnsi"/>
          <w:sz w:val="22"/>
          <w:lang w:eastAsia="en-AU"/>
        </w:rPr>
        <w:t>Federal Budget</w:t>
      </w:r>
      <w:r w:rsidRPr="00D45B96">
        <w:rPr>
          <w:rFonts w:asciiTheme="minorHAnsi" w:hAnsiTheme="minorHAnsi" w:cstheme="minorHAnsi"/>
          <w:sz w:val="22"/>
          <w:lang w:eastAsia="en-AU"/>
        </w:rPr>
        <w:t>.</w:t>
      </w:r>
      <w:r w:rsidR="00D45B96">
        <w:rPr>
          <w:rFonts w:asciiTheme="minorHAnsi" w:hAnsiTheme="minorHAnsi" w:cstheme="minorHAnsi"/>
          <w:sz w:val="22"/>
          <w:lang w:eastAsia="en-AU"/>
        </w:rPr>
        <w:t xml:space="preserve"> There are 17</w:t>
      </w:r>
      <w:r w:rsidRPr="00BA1215">
        <w:rPr>
          <w:rFonts w:asciiTheme="minorHAnsi" w:hAnsiTheme="minorHAnsi" w:cstheme="minorHAnsi"/>
          <w:sz w:val="22"/>
          <w:lang w:eastAsia="en-AU"/>
        </w:rPr>
        <w:t xml:space="preserve"> recommendations which would increase government spending to alleviate poverty and address </w:t>
      </w:r>
      <w:r w:rsidR="00FD2125">
        <w:rPr>
          <w:rFonts w:asciiTheme="minorHAnsi" w:hAnsiTheme="minorHAnsi" w:cstheme="minorHAnsi"/>
          <w:sz w:val="22"/>
          <w:lang w:eastAsia="en-AU"/>
        </w:rPr>
        <w:t>gaps</w:t>
      </w:r>
      <w:r w:rsidR="00FD2125" w:rsidRPr="00BA1215">
        <w:rPr>
          <w:rFonts w:asciiTheme="minorHAnsi" w:hAnsiTheme="minorHAnsi" w:cstheme="minorHAnsi"/>
          <w:sz w:val="22"/>
          <w:lang w:eastAsia="en-AU"/>
        </w:rPr>
        <w:t xml:space="preserve"> </w:t>
      </w:r>
      <w:r w:rsidR="00FD2125">
        <w:rPr>
          <w:rFonts w:asciiTheme="minorHAnsi" w:hAnsiTheme="minorHAnsi" w:cstheme="minorHAnsi"/>
          <w:sz w:val="22"/>
          <w:lang w:eastAsia="en-AU"/>
        </w:rPr>
        <w:t>in</w:t>
      </w:r>
      <w:r w:rsidR="00FD2125" w:rsidRPr="00BA1215">
        <w:rPr>
          <w:rFonts w:asciiTheme="minorHAnsi" w:hAnsiTheme="minorHAnsi" w:cstheme="minorHAnsi"/>
          <w:sz w:val="22"/>
          <w:lang w:eastAsia="en-AU"/>
        </w:rPr>
        <w:t xml:space="preserve"> </w:t>
      </w:r>
      <w:r w:rsidRPr="00BA1215">
        <w:rPr>
          <w:rFonts w:asciiTheme="minorHAnsi" w:hAnsiTheme="minorHAnsi" w:cstheme="minorHAnsi"/>
          <w:sz w:val="22"/>
          <w:lang w:eastAsia="en-AU"/>
        </w:rPr>
        <w:t>our social</w:t>
      </w:r>
      <w:r w:rsidR="00730EB9">
        <w:rPr>
          <w:rFonts w:asciiTheme="minorHAnsi" w:hAnsiTheme="minorHAnsi" w:cstheme="minorHAnsi"/>
          <w:sz w:val="22"/>
          <w:lang w:eastAsia="en-AU"/>
        </w:rPr>
        <w:t xml:space="preserve"> security system. There are a </w:t>
      </w:r>
      <w:r w:rsidR="00D45B96">
        <w:rPr>
          <w:rFonts w:asciiTheme="minorHAnsi" w:hAnsiTheme="minorHAnsi" w:cstheme="minorHAnsi"/>
          <w:sz w:val="22"/>
          <w:lang w:eastAsia="en-AU"/>
        </w:rPr>
        <w:t>further 11</w:t>
      </w:r>
      <w:r w:rsidRPr="00BA1215">
        <w:rPr>
          <w:rFonts w:asciiTheme="minorHAnsi" w:hAnsiTheme="minorHAnsi" w:cstheme="minorHAnsi"/>
          <w:sz w:val="22"/>
          <w:lang w:eastAsia="en-AU"/>
        </w:rPr>
        <w:t xml:space="preserve"> recommendations which would significantly </w:t>
      </w:r>
      <w:r w:rsidR="00E40A44">
        <w:rPr>
          <w:rFonts w:asciiTheme="minorHAnsi" w:hAnsiTheme="minorHAnsi" w:cstheme="minorHAnsi"/>
          <w:sz w:val="22"/>
          <w:lang w:eastAsia="en-AU"/>
        </w:rPr>
        <w:t>increase</w:t>
      </w:r>
      <w:r w:rsidRPr="00BA1215">
        <w:rPr>
          <w:rFonts w:asciiTheme="minorHAnsi" w:hAnsiTheme="minorHAnsi" w:cstheme="minorHAnsi"/>
          <w:sz w:val="22"/>
          <w:lang w:eastAsia="en-AU"/>
        </w:rPr>
        <w:t xml:space="preserve"> government </w:t>
      </w:r>
      <w:r w:rsidR="00E40A44">
        <w:rPr>
          <w:rFonts w:asciiTheme="minorHAnsi" w:hAnsiTheme="minorHAnsi" w:cstheme="minorHAnsi"/>
          <w:sz w:val="22"/>
          <w:lang w:eastAsia="en-AU"/>
        </w:rPr>
        <w:t>revenue</w:t>
      </w:r>
      <w:r w:rsidR="00BA1215" w:rsidRPr="00BA1215">
        <w:rPr>
          <w:rFonts w:asciiTheme="minorHAnsi" w:hAnsiTheme="minorHAnsi" w:cstheme="minorHAnsi"/>
          <w:sz w:val="22"/>
          <w:lang w:eastAsia="en-AU"/>
        </w:rPr>
        <w:t xml:space="preserve"> and offset the recommended increases to </w:t>
      </w:r>
      <w:r w:rsidR="00E40A44">
        <w:rPr>
          <w:rFonts w:asciiTheme="minorHAnsi" w:hAnsiTheme="minorHAnsi" w:cstheme="minorHAnsi"/>
          <w:sz w:val="22"/>
          <w:lang w:eastAsia="en-AU"/>
        </w:rPr>
        <w:t xml:space="preserve">targeted </w:t>
      </w:r>
      <w:r w:rsidR="00FD2125">
        <w:rPr>
          <w:rFonts w:asciiTheme="minorHAnsi" w:hAnsiTheme="minorHAnsi" w:cstheme="minorHAnsi"/>
          <w:sz w:val="22"/>
          <w:lang w:eastAsia="en-AU"/>
        </w:rPr>
        <w:t>expenditure</w:t>
      </w:r>
      <w:r w:rsidR="00BA1215" w:rsidRPr="00BA1215">
        <w:rPr>
          <w:rFonts w:asciiTheme="minorHAnsi" w:hAnsiTheme="minorHAnsi" w:cstheme="minorHAnsi"/>
          <w:sz w:val="22"/>
          <w:lang w:eastAsia="en-AU"/>
        </w:rPr>
        <w:t>.</w:t>
      </w:r>
    </w:p>
    <w:p w:rsidR="00D655ED" w:rsidRDefault="00D655ED" w:rsidP="0045734B">
      <w:pPr>
        <w:jc w:val="both"/>
        <w:rPr>
          <w:rFonts w:asciiTheme="minorHAnsi" w:hAnsiTheme="minorHAnsi" w:cstheme="minorHAnsi"/>
          <w:b/>
          <w:sz w:val="22"/>
          <w:lang w:eastAsia="en-AU"/>
        </w:rPr>
      </w:pPr>
    </w:p>
    <w:p w:rsidR="00BA1215" w:rsidRPr="00BB5D86" w:rsidRDefault="00BA1215" w:rsidP="00BA1215">
      <w:pPr>
        <w:jc w:val="both"/>
        <w:rPr>
          <w:rFonts w:asciiTheme="minorHAnsi" w:hAnsiTheme="minorHAnsi" w:cstheme="minorHAnsi"/>
          <w:sz w:val="22"/>
          <w:lang w:eastAsia="en-AU"/>
        </w:rPr>
      </w:pPr>
      <w:r w:rsidRPr="00BB5D86">
        <w:rPr>
          <w:rFonts w:asciiTheme="minorHAnsi" w:hAnsiTheme="minorHAnsi" w:cstheme="minorHAnsi"/>
          <w:sz w:val="22"/>
          <w:lang w:eastAsia="en-AU"/>
        </w:rPr>
        <w:t xml:space="preserve">To build a more productive and fairer </w:t>
      </w:r>
      <w:r w:rsidR="003075EF">
        <w:rPr>
          <w:rFonts w:asciiTheme="minorHAnsi" w:hAnsiTheme="minorHAnsi" w:cstheme="minorHAnsi"/>
          <w:sz w:val="22"/>
          <w:lang w:eastAsia="en-AU"/>
        </w:rPr>
        <w:t>nation into the future</w:t>
      </w:r>
      <w:r w:rsidRPr="00BB5D86">
        <w:rPr>
          <w:rFonts w:asciiTheme="minorHAnsi" w:hAnsiTheme="minorHAnsi" w:cstheme="minorHAnsi"/>
          <w:sz w:val="22"/>
          <w:lang w:eastAsia="en-AU"/>
        </w:rPr>
        <w:t>, we need a</w:t>
      </w:r>
      <w:r w:rsidR="003075EF">
        <w:rPr>
          <w:rFonts w:asciiTheme="minorHAnsi" w:hAnsiTheme="minorHAnsi" w:cstheme="minorHAnsi"/>
          <w:sz w:val="22"/>
          <w:lang w:eastAsia="en-AU"/>
        </w:rPr>
        <w:t xml:space="preserve">n </w:t>
      </w:r>
      <w:r w:rsidRPr="00BB5D86">
        <w:rPr>
          <w:rFonts w:asciiTheme="minorHAnsi" w:hAnsiTheme="minorHAnsi" w:cstheme="minorHAnsi"/>
          <w:sz w:val="22"/>
          <w:lang w:eastAsia="en-AU"/>
        </w:rPr>
        <w:t>efficient and sustainable tax base</w:t>
      </w:r>
      <w:r w:rsidR="003075EF">
        <w:rPr>
          <w:rFonts w:asciiTheme="minorHAnsi" w:hAnsiTheme="minorHAnsi" w:cstheme="minorHAnsi"/>
          <w:sz w:val="22"/>
          <w:lang w:eastAsia="en-AU"/>
        </w:rPr>
        <w:t>.  We must minimise wasteful expenditure including tax expenditure</w:t>
      </w:r>
      <w:r w:rsidRPr="00BB5D86">
        <w:rPr>
          <w:rFonts w:asciiTheme="minorHAnsi" w:hAnsiTheme="minorHAnsi" w:cstheme="minorHAnsi"/>
          <w:sz w:val="22"/>
          <w:lang w:eastAsia="en-AU"/>
        </w:rPr>
        <w:t xml:space="preserve"> so that we can afford essential </w:t>
      </w:r>
      <w:r w:rsidR="003075EF">
        <w:rPr>
          <w:rFonts w:asciiTheme="minorHAnsi" w:hAnsiTheme="minorHAnsi" w:cstheme="minorHAnsi"/>
          <w:sz w:val="22"/>
          <w:lang w:eastAsia="en-AU"/>
        </w:rPr>
        <w:t>public and social services. This, we recommend that the</w:t>
      </w:r>
      <w:r w:rsidR="003075EF" w:rsidRPr="003075EF">
        <w:rPr>
          <w:rFonts w:asciiTheme="minorHAnsi" w:hAnsiTheme="minorHAnsi" w:cstheme="minorHAnsi"/>
          <w:sz w:val="22"/>
          <w:szCs w:val="22"/>
        </w:rPr>
        <w:t xml:space="preserve"> Government review current tax concessions for superannuation savings, to make them fairer and more sustainable. </w:t>
      </w:r>
    </w:p>
    <w:p w:rsidR="00AB4477" w:rsidRDefault="00AB4477" w:rsidP="00473914">
      <w:pPr>
        <w:jc w:val="both"/>
        <w:rPr>
          <w:rFonts w:asciiTheme="minorHAnsi" w:hAnsiTheme="minorHAnsi" w:cstheme="minorHAnsi"/>
          <w:sz w:val="22"/>
          <w:lang w:eastAsia="en-AU"/>
        </w:rPr>
      </w:pPr>
    </w:p>
    <w:p w:rsidR="00BA1215" w:rsidRDefault="00ED0D7A" w:rsidP="00BA1215">
      <w:pPr>
        <w:jc w:val="both"/>
        <w:rPr>
          <w:rFonts w:asciiTheme="minorHAnsi" w:hAnsiTheme="minorHAnsi" w:cstheme="minorHAnsi"/>
          <w:sz w:val="22"/>
        </w:rPr>
      </w:pPr>
      <w:r w:rsidRPr="00BB5D86">
        <w:rPr>
          <w:rFonts w:asciiTheme="minorHAnsi" w:hAnsiTheme="minorHAnsi" w:cstheme="minorHAnsi"/>
          <w:sz w:val="22"/>
        </w:rPr>
        <w:t xml:space="preserve">This Budget submission makes recommendations </w:t>
      </w:r>
      <w:r w:rsidR="003075EF">
        <w:rPr>
          <w:rFonts w:asciiTheme="minorHAnsi" w:hAnsiTheme="minorHAnsi" w:cstheme="minorHAnsi"/>
          <w:sz w:val="22"/>
        </w:rPr>
        <w:t xml:space="preserve">to better </w:t>
      </w:r>
      <w:r w:rsidRPr="00BB5D86">
        <w:rPr>
          <w:rFonts w:asciiTheme="minorHAnsi" w:hAnsiTheme="minorHAnsi" w:cstheme="minorHAnsi"/>
          <w:sz w:val="22"/>
        </w:rPr>
        <w:t>target certain family payments and social security spending</w:t>
      </w:r>
      <w:r w:rsidR="003075EF">
        <w:rPr>
          <w:rFonts w:asciiTheme="minorHAnsi" w:hAnsiTheme="minorHAnsi" w:cstheme="minorHAnsi"/>
          <w:sz w:val="22"/>
        </w:rPr>
        <w:t>.  It also makes recommendations to better target</w:t>
      </w:r>
      <w:r w:rsidRPr="00BB5D86">
        <w:rPr>
          <w:rFonts w:asciiTheme="minorHAnsi" w:hAnsiTheme="minorHAnsi" w:cstheme="minorHAnsi"/>
          <w:sz w:val="22"/>
        </w:rPr>
        <w:t xml:space="preserve"> taxation expenditure</w:t>
      </w:r>
      <w:r w:rsidR="003075EF">
        <w:rPr>
          <w:rFonts w:asciiTheme="minorHAnsi" w:hAnsiTheme="minorHAnsi" w:cstheme="minorHAnsi"/>
          <w:sz w:val="22"/>
        </w:rPr>
        <w:t xml:space="preserve">. </w:t>
      </w:r>
      <w:r>
        <w:rPr>
          <w:rFonts w:asciiTheme="minorHAnsi" w:hAnsiTheme="minorHAnsi" w:cstheme="minorHAnsi"/>
          <w:sz w:val="22"/>
        </w:rPr>
        <w:t xml:space="preserve">It </w:t>
      </w:r>
      <w:r w:rsidR="00BA1215" w:rsidRPr="00BB5D86">
        <w:rPr>
          <w:rFonts w:asciiTheme="minorHAnsi" w:hAnsiTheme="minorHAnsi" w:cstheme="minorHAnsi"/>
          <w:sz w:val="22"/>
        </w:rPr>
        <w:t xml:space="preserve">contains a series of modest spending proposals that we believe are essential to assisting the poorest and most vulnerable groups in the community. </w:t>
      </w:r>
    </w:p>
    <w:p w:rsidR="00CC02BB" w:rsidRPr="00BB5D86" w:rsidRDefault="00CC02BB" w:rsidP="00BA1215">
      <w:pPr>
        <w:jc w:val="both"/>
        <w:rPr>
          <w:rFonts w:asciiTheme="minorHAnsi" w:hAnsiTheme="minorHAnsi" w:cstheme="minorHAnsi"/>
          <w:sz w:val="22"/>
        </w:rPr>
      </w:pPr>
    </w:p>
    <w:p w:rsidR="00BA1215" w:rsidRDefault="003075EF" w:rsidP="00BA1215">
      <w:pPr>
        <w:jc w:val="both"/>
        <w:rPr>
          <w:rFonts w:asciiTheme="minorHAnsi" w:hAnsiTheme="minorHAnsi" w:cstheme="minorHAnsi"/>
          <w:sz w:val="22"/>
          <w:lang w:eastAsia="en-AU"/>
        </w:rPr>
      </w:pPr>
      <w:r>
        <w:rPr>
          <w:rFonts w:asciiTheme="minorHAnsi" w:hAnsiTheme="minorHAnsi" w:cstheme="minorHAnsi"/>
          <w:sz w:val="22"/>
          <w:lang w:eastAsia="en-AU"/>
        </w:rPr>
        <w:t xml:space="preserve">One of our spending proposals is to </w:t>
      </w:r>
      <w:r w:rsidR="00ED0D7A">
        <w:rPr>
          <w:rFonts w:asciiTheme="minorHAnsi" w:hAnsiTheme="minorHAnsi" w:cstheme="minorHAnsi"/>
          <w:sz w:val="22"/>
          <w:lang w:eastAsia="en-AU"/>
        </w:rPr>
        <w:t>that the</w:t>
      </w:r>
      <w:r w:rsidR="00BA1215" w:rsidRPr="00BB5D86">
        <w:rPr>
          <w:rFonts w:asciiTheme="minorHAnsi" w:hAnsiTheme="minorHAnsi" w:cstheme="minorHAnsi"/>
          <w:sz w:val="22"/>
          <w:lang w:eastAsia="en-AU"/>
        </w:rPr>
        <w:t xml:space="preserve"> Government </w:t>
      </w:r>
      <w:r w:rsidR="00ED0D7A">
        <w:rPr>
          <w:rFonts w:asciiTheme="minorHAnsi" w:hAnsiTheme="minorHAnsi" w:cstheme="minorHAnsi"/>
          <w:sz w:val="22"/>
          <w:lang w:eastAsia="en-AU"/>
        </w:rPr>
        <w:t>action</w:t>
      </w:r>
      <w:r w:rsidR="00BA1215" w:rsidRPr="00BB5D86">
        <w:rPr>
          <w:rFonts w:asciiTheme="minorHAnsi" w:hAnsiTheme="minorHAnsi" w:cstheme="minorHAnsi"/>
          <w:sz w:val="22"/>
          <w:lang w:eastAsia="en-AU"/>
        </w:rPr>
        <w:t xml:space="preserve"> the call from people and organisations across Australian public life to increase the single rate of Newstart Allowance, Youth Allowance and s</w:t>
      </w:r>
      <w:r w:rsidR="00B425E9">
        <w:rPr>
          <w:rFonts w:asciiTheme="minorHAnsi" w:hAnsiTheme="minorHAnsi" w:cstheme="minorHAnsi"/>
          <w:sz w:val="22"/>
          <w:lang w:eastAsia="en-AU"/>
        </w:rPr>
        <w:t xml:space="preserve">imilar payments </w:t>
      </w:r>
      <w:r w:rsidR="00CC02BB">
        <w:rPr>
          <w:rFonts w:asciiTheme="minorHAnsi" w:hAnsiTheme="minorHAnsi" w:cstheme="minorHAnsi"/>
          <w:sz w:val="22"/>
          <w:lang w:eastAsia="en-AU"/>
        </w:rPr>
        <w:t>by $50 per week and to benchmark the single rate to 66.3% of the couple rate (the same relativity as currently applies to pensions</w:t>
      </w:r>
      <w:r>
        <w:rPr>
          <w:rFonts w:asciiTheme="minorHAnsi" w:hAnsiTheme="minorHAnsi" w:cstheme="minorHAnsi"/>
          <w:sz w:val="22"/>
          <w:lang w:eastAsia="en-AU"/>
        </w:rPr>
        <w:t>)</w:t>
      </w:r>
      <w:r w:rsidR="00FD2125">
        <w:rPr>
          <w:rFonts w:asciiTheme="minorHAnsi" w:hAnsiTheme="minorHAnsi" w:cstheme="minorHAnsi"/>
          <w:sz w:val="22"/>
          <w:lang w:eastAsia="en-AU"/>
        </w:rPr>
        <w:t>.</w:t>
      </w:r>
    </w:p>
    <w:p w:rsidR="009B0456" w:rsidRDefault="009B0456" w:rsidP="00BA1215">
      <w:pPr>
        <w:jc w:val="both"/>
        <w:rPr>
          <w:rFonts w:asciiTheme="minorHAnsi" w:hAnsiTheme="minorHAnsi" w:cstheme="minorHAnsi"/>
          <w:sz w:val="22"/>
        </w:rPr>
      </w:pPr>
    </w:p>
    <w:p w:rsidR="009B0456" w:rsidRPr="009B0456" w:rsidRDefault="007B6559" w:rsidP="00BA1215">
      <w:pPr>
        <w:jc w:val="both"/>
        <w:rPr>
          <w:rFonts w:asciiTheme="minorHAnsi" w:hAnsiTheme="minorHAnsi" w:cstheme="minorHAnsi"/>
          <w:sz w:val="22"/>
          <w:lang w:eastAsia="en-AU"/>
        </w:rPr>
      </w:pPr>
      <w:r>
        <w:rPr>
          <w:rFonts w:asciiTheme="minorHAnsi" w:hAnsiTheme="minorHAnsi" w:cstheme="minorHAnsi"/>
          <w:sz w:val="22"/>
        </w:rPr>
        <w:t xml:space="preserve">The </w:t>
      </w:r>
      <w:r w:rsidR="009B0456" w:rsidRPr="003075EF">
        <w:rPr>
          <w:rFonts w:asciiTheme="minorHAnsi" w:hAnsiTheme="minorHAnsi" w:cstheme="minorHAnsi"/>
          <w:sz w:val="22"/>
        </w:rPr>
        <w:t>Government should continue to provide</w:t>
      </w:r>
      <w:r>
        <w:rPr>
          <w:rFonts w:asciiTheme="minorHAnsi" w:hAnsiTheme="minorHAnsi" w:cstheme="minorHAnsi"/>
          <w:sz w:val="22"/>
        </w:rPr>
        <w:t xml:space="preserve"> the twice yearly Income Support Bonus to recipients of Parenting Payment.  In addition, in the event that the Government fails to act on the calls to increase the Newstart Allowance substantially, then </w:t>
      </w:r>
      <w:r w:rsidR="00FE420F">
        <w:rPr>
          <w:rFonts w:asciiTheme="minorHAnsi" w:hAnsiTheme="minorHAnsi" w:cstheme="minorHAnsi"/>
          <w:sz w:val="22"/>
        </w:rPr>
        <w:t xml:space="preserve">the </w:t>
      </w:r>
      <w:r w:rsidR="00FE420F" w:rsidRPr="003075EF">
        <w:rPr>
          <w:rFonts w:asciiTheme="minorHAnsi" w:hAnsiTheme="minorHAnsi" w:cstheme="minorHAnsi"/>
          <w:sz w:val="22"/>
        </w:rPr>
        <w:t>Income</w:t>
      </w:r>
      <w:r>
        <w:rPr>
          <w:rFonts w:asciiTheme="minorHAnsi" w:hAnsiTheme="minorHAnsi" w:cstheme="minorHAnsi"/>
          <w:sz w:val="22"/>
        </w:rPr>
        <w:t xml:space="preserve"> Support Bonus should be retained for all those who would have been eligible. </w:t>
      </w:r>
    </w:p>
    <w:p w:rsidR="00CC02BB" w:rsidRDefault="00CC02BB" w:rsidP="00BA1215">
      <w:pPr>
        <w:jc w:val="both"/>
        <w:rPr>
          <w:rFonts w:asciiTheme="minorHAnsi" w:hAnsiTheme="minorHAnsi" w:cstheme="minorHAnsi"/>
          <w:sz w:val="22"/>
          <w:lang w:eastAsia="en-AU"/>
        </w:rPr>
      </w:pPr>
    </w:p>
    <w:p w:rsidR="00CC02BB" w:rsidRDefault="00CC02BB" w:rsidP="00BA1215">
      <w:pPr>
        <w:jc w:val="both"/>
        <w:rPr>
          <w:rFonts w:asciiTheme="minorHAnsi" w:hAnsiTheme="minorHAnsi" w:cstheme="minorHAnsi"/>
          <w:sz w:val="22"/>
          <w:lang w:eastAsia="en-AU"/>
        </w:rPr>
      </w:pPr>
      <w:r>
        <w:rPr>
          <w:rFonts w:asciiTheme="minorHAnsi" w:hAnsiTheme="minorHAnsi" w:cstheme="minorHAnsi"/>
          <w:sz w:val="22"/>
          <w:lang w:eastAsia="en-AU"/>
        </w:rPr>
        <w:t>We recommended increased investment in employment assistance</w:t>
      </w:r>
      <w:r w:rsidR="009B0456">
        <w:rPr>
          <w:rFonts w:asciiTheme="minorHAnsi" w:hAnsiTheme="minorHAnsi" w:cstheme="minorHAnsi"/>
          <w:sz w:val="22"/>
          <w:lang w:eastAsia="en-AU"/>
        </w:rPr>
        <w:t xml:space="preserve"> and greater flexibility and choice for job seekers </w:t>
      </w:r>
      <w:r>
        <w:rPr>
          <w:rFonts w:asciiTheme="minorHAnsi" w:hAnsiTheme="minorHAnsi" w:cstheme="minorHAnsi"/>
          <w:sz w:val="22"/>
          <w:lang w:eastAsia="en-AU"/>
        </w:rPr>
        <w:t xml:space="preserve">and an expansion of the wage subsidy program to assist jobseekers into work. </w:t>
      </w:r>
    </w:p>
    <w:p w:rsidR="00CC02BB" w:rsidRDefault="00CC02BB" w:rsidP="00BA1215">
      <w:pPr>
        <w:jc w:val="both"/>
        <w:rPr>
          <w:rFonts w:asciiTheme="minorHAnsi" w:hAnsiTheme="minorHAnsi" w:cstheme="minorHAnsi"/>
          <w:sz w:val="22"/>
          <w:lang w:eastAsia="en-AU"/>
        </w:rPr>
      </w:pPr>
    </w:p>
    <w:p w:rsidR="00CC02BB" w:rsidRDefault="00CC02BB" w:rsidP="00BA1215">
      <w:pPr>
        <w:jc w:val="both"/>
        <w:rPr>
          <w:rFonts w:asciiTheme="minorHAnsi" w:hAnsiTheme="minorHAnsi" w:cstheme="minorHAnsi"/>
          <w:sz w:val="22"/>
          <w:lang w:eastAsia="en-AU"/>
        </w:rPr>
      </w:pPr>
      <w:r>
        <w:rPr>
          <w:rFonts w:asciiTheme="minorHAnsi" w:hAnsiTheme="minorHAnsi" w:cstheme="minorHAnsi"/>
          <w:sz w:val="22"/>
          <w:lang w:eastAsia="en-AU"/>
        </w:rPr>
        <w:t xml:space="preserve">We propose an increase to Rent Assistance to improve housing affordability and reduce homelessness. </w:t>
      </w:r>
    </w:p>
    <w:p w:rsidR="00CC02BB" w:rsidRDefault="00CC02BB" w:rsidP="00BA1215">
      <w:pPr>
        <w:jc w:val="both"/>
        <w:rPr>
          <w:rFonts w:asciiTheme="minorHAnsi" w:hAnsiTheme="minorHAnsi" w:cstheme="minorHAnsi"/>
          <w:sz w:val="22"/>
          <w:lang w:eastAsia="en-AU"/>
        </w:rPr>
      </w:pPr>
    </w:p>
    <w:p w:rsidR="009B0456" w:rsidRPr="003075EF" w:rsidRDefault="009B0456" w:rsidP="009B0456">
      <w:pPr>
        <w:rPr>
          <w:sz w:val="22"/>
          <w:szCs w:val="22"/>
        </w:rPr>
      </w:pPr>
      <w:r w:rsidRPr="003075EF">
        <w:rPr>
          <w:rFonts w:asciiTheme="minorHAnsi" w:hAnsiTheme="minorHAnsi" w:cstheme="minorHAnsi"/>
          <w:sz w:val="22"/>
          <w:szCs w:val="22"/>
        </w:rPr>
        <w:t>We propose a number of improvements</w:t>
      </w:r>
      <w:r w:rsidRPr="009B0456">
        <w:rPr>
          <w:rFonts w:asciiTheme="minorHAnsi" w:hAnsiTheme="minorHAnsi" w:cstheme="minorHAnsi"/>
          <w:sz w:val="22"/>
          <w:szCs w:val="22"/>
        </w:rPr>
        <w:t xml:space="preserve"> </w:t>
      </w:r>
      <w:r w:rsidRPr="003075EF">
        <w:rPr>
          <w:rFonts w:asciiTheme="minorHAnsi" w:hAnsiTheme="minorHAnsi" w:cstheme="minorHAnsi"/>
          <w:sz w:val="22"/>
          <w:szCs w:val="22"/>
        </w:rPr>
        <w:t>that would increase</w:t>
      </w:r>
      <w:r w:rsidRPr="009B0456">
        <w:rPr>
          <w:rFonts w:asciiTheme="minorHAnsi" w:hAnsiTheme="minorHAnsi" w:cstheme="minorHAnsi"/>
          <w:sz w:val="22"/>
          <w:szCs w:val="22"/>
        </w:rPr>
        <w:t xml:space="preserve"> employment and participation outcomes for Indigenous people living in rural and remote communities</w:t>
      </w:r>
      <w:r w:rsidRPr="003075EF">
        <w:rPr>
          <w:rFonts w:asciiTheme="minorHAnsi" w:hAnsiTheme="minorHAnsi" w:cstheme="minorHAnsi"/>
          <w:sz w:val="22"/>
          <w:szCs w:val="22"/>
        </w:rPr>
        <w:t>.</w:t>
      </w:r>
    </w:p>
    <w:p w:rsidR="009B0456" w:rsidRDefault="009B0456" w:rsidP="00BA1215">
      <w:pPr>
        <w:jc w:val="both"/>
        <w:rPr>
          <w:rFonts w:asciiTheme="minorHAnsi" w:hAnsiTheme="minorHAnsi" w:cstheme="minorHAnsi"/>
          <w:sz w:val="22"/>
          <w:lang w:eastAsia="en-AU"/>
        </w:rPr>
      </w:pPr>
    </w:p>
    <w:p w:rsidR="009B0456" w:rsidRDefault="009B0456" w:rsidP="009B0456">
      <w:r>
        <w:rPr>
          <w:rFonts w:asciiTheme="minorHAnsi" w:hAnsiTheme="minorHAnsi" w:cstheme="minorHAnsi"/>
          <w:sz w:val="22"/>
        </w:rPr>
        <w:t>F</w:t>
      </w:r>
      <w:r w:rsidRPr="001E636F">
        <w:rPr>
          <w:rFonts w:asciiTheme="minorHAnsi" w:hAnsiTheme="minorHAnsi" w:cstheme="minorHAnsi"/>
          <w:sz w:val="22"/>
        </w:rPr>
        <w:t xml:space="preserve">unding to </w:t>
      </w:r>
      <w:r>
        <w:rPr>
          <w:rFonts w:asciiTheme="minorHAnsi" w:hAnsiTheme="minorHAnsi" w:cstheme="minorHAnsi"/>
          <w:sz w:val="22"/>
        </w:rPr>
        <w:t>Department of Human Services</w:t>
      </w:r>
      <w:r w:rsidRPr="001E636F">
        <w:rPr>
          <w:rFonts w:asciiTheme="minorHAnsi" w:hAnsiTheme="minorHAnsi" w:cstheme="minorHAnsi"/>
          <w:sz w:val="22"/>
        </w:rPr>
        <w:t xml:space="preserve"> to administer Social Security payments should be </w:t>
      </w:r>
      <w:r w:rsidR="00FE420F" w:rsidRPr="001E636F">
        <w:rPr>
          <w:rFonts w:asciiTheme="minorHAnsi" w:hAnsiTheme="minorHAnsi" w:cstheme="minorHAnsi"/>
          <w:sz w:val="22"/>
        </w:rPr>
        <w:t>increased</w:t>
      </w:r>
      <w:r w:rsidRPr="001E636F">
        <w:rPr>
          <w:rFonts w:asciiTheme="minorHAnsi" w:hAnsiTheme="minorHAnsi" w:cstheme="minorHAnsi"/>
          <w:sz w:val="22"/>
        </w:rPr>
        <w:t xml:space="preserve"> not decreased. More Authorised Review Officers are needed to deal with appeal backlogs, more resources are required to reduce telephone and face to face wait times</w:t>
      </w:r>
      <w:r>
        <w:rPr>
          <w:rFonts w:asciiTheme="minorHAnsi" w:hAnsiTheme="minorHAnsi" w:cstheme="minorHAnsi"/>
          <w:sz w:val="22"/>
        </w:rPr>
        <w:t>, and</w:t>
      </w:r>
      <w:r w:rsidRPr="001E636F">
        <w:rPr>
          <w:rFonts w:asciiTheme="minorHAnsi" w:hAnsiTheme="minorHAnsi" w:cstheme="minorHAnsi"/>
          <w:sz w:val="22"/>
        </w:rPr>
        <w:t xml:space="preserve"> staffing levels </w:t>
      </w:r>
      <w:r>
        <w:rPr>
          <w:rFonts w:asciiTheme="minorHAnsi" w:hAnsiTheme="minorHAnsi" w:cstheme="minorHAnsi"/>
          <w:sz w:val="22"/>
        </w:rPr>
        <w:t xml:space="preserve">generally </w:t>
      </w:r>
      <w:r w:rsidRPr="001E636F">
        <w:rPr>
          <w:rFonts w:asciiTheme="minorHAnsi" w:hAnsiTheme="minorHAnsi" w:cstheme="minorHAnsi"/>
          <w:sz w:val="22"/>
        </w:rPr>
        <w:t>need to be increased, not decreased. The availability of face to face services for customers who struggle with online and telephone self-service options must be preserved.</w:t>
      </w:r>
    </w:p>
    <w:p w:rsidR="009B0456" w:rsidRDefault="009B0456" w:rsidP="00BA1215">
      <w:pPr>
        <w:jc w:val="both"/>
        <w:rPr>
          <w:rFonts w:asciiTheme="minorHAnsi" w:hAnsiTheme="minorHAnsi" w:cstheme="minorHAnsi"/>
          <w:sz w:val="22"/>
          <w:lang w:eastAsia="en-AU"/>
        </w:rPr>
      </w:pPr>
    </w:p>
    <w:p w:rsidR="00CC02BB" w:rsidRPr="00BB5D86" w:rsidRDefault="00CC02BB" w:rsidP="00BA1215">
      <w:pPr>
        <w:jc w:val="both"/>
        <w:rPr>
          <w:rFonts w:asciiTheme="minorHAnsi" w:hAnsiTheme="minorHAnsi" w:cstheme="minorHAnsi"/>
          <w:sz w:val="22"/>
          <w:lang w:eastAsia="en-AU"/>
        </w:rPr>
      </w:pPr>
      <w:r>
        <w:rPr>
          <w:rFonts w:asciiTheme="minorHAnsi" w:hAnsiTheme="minorHAnsi" w:cstheme="minorHAnsi"/>
          <w:sz w:val="22"/>
          <w:lang w:eastAsia="en-AU"/>
        </w:rPr>
        <w:t xml:space="preserve">We have included a number of small budget measures in relation to the Special Benefit payment which, although applicable only to a very small group of extremely vulnerable people, would have an immense impact on the lives of people in dire circumstances who are currently unable to access income support. </w:t>
      </w:r>
    </w:p>
    <w:p w:rsidR="00CC02BB" w:rsidRPr="003075EF" w:rsidRDefault="00CC02BB" w:rsidP="00473914">
      <w:pPr>
        <w:jc w:val="both"/>
        <w:rPr>
          <w:rFonts w:asciiTheme="minorHAnsi" w:hAnsiTheme="minorHAnsi" w:cstheme="minorHAnsi"/>
          <w:sz w:val="22"/>
          <w:szCs w:val="22"/>
          <w:lang w:eastAsia="en-AU"/>
        </w:rPr>
      </w:pPr>
    </w:p>
    <w:p w:rsidR="00402DDB" w:rsidRDefault="00402DDB" w:rsidP="00402DDB">
      <w:pPr>
        <w:rPr>
          <w:rFonts w:asciiTheme="minorHAnsi" w:hAnsiTheme="minorHAnsi" w:cstheme="minorHAnsi"/>
          <w:b/>
          <w:sz w:val="22"/>
        </w:rPr>
      </w:pPr>
      <w:r w:rsidRPr="00FE420F">
        <w:rPr>
          <w:rFonts w:asciiTheme="minorHAnsi" w:hAnsiTheme="minorHAnsi" w:cstheme="minorHAnsi"/>
          <w:sz w:val="22"/>
          <w:szCs w:val="22"/>
        </w:rPr>
        <w:t>We call on</w:t>
      </w:r>
      <w:r w:rsidRPr="003075EF">
        <w:rPr>
          <w:rFonts w:asciiTheme="minorHAnsi" w:hAnsiTheme="minorHAnsi" w:cstheme="minorHAnsi"/>
          <w:sz w:val="22"/>
          <w:szCs w:val="22"/>
        </w:rPr>
        <w:t xml:space="preserve"> the Federal</w:t>
      </w:r>
      <w:r w:rsidRPr="000966B1">
        <w:rPr>
          <w:rFonts w:asciiTheme="minorHAnsi" w:hAnsiTheme="minorHAnsi" w:cstheme="minorHAnsi"/>
          <w:sz w:val="22"/>
        </w:rPr>
        <w:t xml:space="preserve"> Government develop specific strategies to reduce homelessness among older people, and to provide appropriate services and support for older people needing crisis accommodation.</w:t>
      </w:r>
      <w:r>
        <w:rPr>
          <w:rFonts w:asciiTheme="minorHAnsi" w:hAnsiTheme="minorHAnsi" w:cstheme="minorHAnsi"/>
          <w:b/>
          <w:sz w:val="22"/>
        </w:rPr>
        <w:t xml:space="preserve"> </w:t>
      </w:r>
    </w:p>
    <w:p w:rsidR="0075630D" w:rsidRDefault="0075630D" w:rsidP="00402DDB">
      <w:pPr>
        <w:rPr>
          <w:rFonts w:asciiTheme="minorHAnsi" w:hAnsiTheme="minorHAnsi" w:cstheme="minorHAnsi"/>
          <w:b/>
          <w:sz w:val="22"/>
        </w:rPr>
      </w:pPr>
    </w:p>
    <w:p w:rsidR="0075630D" w:rsidRPr="003075EF" w:rsidRDefault="0075630D" w:rsidP="0075630D">
      <w:pPr>
        <w:rPr>
          <w:rFonts w:asciiTheme="minorHAnsi" w:hAnsiTheme="minorHAnsi" w:cstheme="minorHAnsi"/>
          <w:sz w:val="22"/>
          <w:szCs w:val="22"/>
        </w:rPr>
      </w:pPr>
      <w:r w:rsidRPr="003075EF">
        <w:rPr>
          <w:rFonts w:asciiTheme="minorHAnsi" w:hAnsiTheme="minorHAnsi" w:cstheme="minorHAnsi"/>
          <w:sz w:val="22"/>
          <w:szCs w:val="22"/>
        </w:rPr>
        <w:lastRenderedPageBreak/>
        <w:t xml:space="preserve">The </w:t>
      </w:r>
      <w:r w:rsidR="003075EF">
        <w:rPr>
          <w:rFonts w:asciiTheme="minorHAnsi" w:hAnsiTheme="minorHAnsi" w:cstheme="minorHAnsi"/>
          <w:sz w:val="22"/>
          <w:szCs w:val="22"/>
        </w:rPr>
        <w:t xml:space="preserve">Government </w:t>
      </w:r>
      <w:r w:rsidRPr="003075EF">
        <w:rPr>
          <w:rFonts w:asciiTheme="minorHAnsi" w:hAnsiTheme="minorHAnsi" w:cstheme="minorHAnsi"/>
          <w:sz w:val="22"/>
          <w:szCs w:val="22"/>
        </w:rPr>
        <w:t xml:space="preserve">should </w:t>
      </w:r>
      <w:r w:rsidR="003075EF">
        <w:rPr>
          <w:rFonts w:asciiTheme="minorHAnsi" w:hAnsiTheme="minorHAnsi" w:cstheme="minorHAnsi"/>
          <w:sz w:val="22"/>
          <w:szCs w:val="22"/>
        </w:rPr>
        <w:t xml:space="preserve">also </w:t>
      </w:r>
      <w:r w:rsidRPr="003075EF">
        <w:rPr>
          <w:rFonts w:asciiTheme="minorHAnsi" w:hAnsiTheme="minorHAnsi" w:cstheme="minorHAnsi"/>
          <w:sz w:val="22"/>
          <w:szCs w:val="22"/>
        </w:rPr>
        <w:t>consider measures to better assist women and carers in retirement.</w:t>
      </w:r>
    </w:p>
    <w:p w:rsidR="009B0456" w:rsidRDefault="009B0456" w:rsidP="00473914">
      <w:pPr>
        <w:jc w:val="both"/>
        <w:rPr>
          <w:rFonts w:asciiTheme="minorHAnsi" w:hAnsiTheme="minorHAnsi" w:cstheme="minorHAnsi"/>
          <w:sz w:val="22"/>
          <w:lang w:eastAsia="en-AU"/>
        </w:rPr>
      </w:pPr>
    </w:p>
    <w:p w:rsidR="00BA1215" w:rsidRDefault="00B67CA3" w:rsidP="00D35273">
      <w:pPr>
        <w:jc w:val="both"/>
        <w:rPr>
          <w:rFonts w:asciiTheme="minorHAnsi" w:hAnsiTheme="minorHAnsi" w:cstheme="minorHAnsi"/>
          <w:sz w:val="22"/>
          <w:lang w:eastAsia="en-AU"/>
        </w:rPr>
      </w:pPr>
      <w:r>
        <w:rPr>
          <w:rFonts w:asciiTheme="minorHAnsi" w:hAnsiTheme="minorHAnsi" w:cstheme="minorHAnsi"/>
          <w:sz w:val="22"/>
          <w:lang w:eastAsia="en-AU"/>
        </w:rPr>
        <w:t>We include</w:t>
      </w:r>
      <w:r w:rsidR="00BA1215">
        <w:rPr>
          <w:rFonts w:asciiTheme="minorHAnsi" w:hAnsiTheme="minorHAnsi" w:cstheme="minorHAnsi"/>
          <w:sz w:val="22"/>
          <w:lang w:eastAsia="en-AU"/>
        </w:rPr>
        <w:t xml:space="preserve"> a recommendation that Age Pension, which is by far the most expensive social security payment, be included in the </w:t>
      </w:r>
      <w:r w:rsidR="00ED0D7A">
        <w:rPr>
          <w:rFonts w:asciiTheme="minorHAnsi" w:hAnsiTheme="minorHAnsi" w:cstheme="minorHAnsi"/>
          <w:sz w:val="22"/>
          <w:lang w:eastAsia="en-AU"/>
        </w:rPr>
        <w:t xml:space="preserve">review by the “Welfare Review Taskforce” being headed by Patrick McClure. </w:t>
      </w:r>
      <w:r w:rsidR="00ED0D7A" w:rsidRPr="00BB5D86">
        <w:rPr>
          <w:rFonts w:asciiTheme="minorHAnsi" w:hAnsiTheme="minorHAnsi" w:cstheme="minorHAnsi"/>
          <w:sz w:val="22"/>
          <w:lang w:eastAsia="en-AU"/>
        </w:rPr>
        <w:t>The</w:t>
      </w:r>
      <w:r w:rsidR="00ED0D7A">
        <w:rPr>
          <w:rFonts w:asciiTheme="minorHAnsi" w:hAnsiTheme="minorHAnsi" w:cstheme="minorHAnsi"/>
          <w:sz w:val="22"/>
          <w:lang w:eastAsia="en-AU"/>
        </w:rPr>
        <w:t xml:space="preserve"> Age Pension, not workforce age payments, is the</w:t>
      </w:r>
      <w:r w:rsidR="00ED0D7A" w:rsidRPr="00BB5D86">
        <w:rPr>
          <w:rFonts w:asciiTheme="minorHAnsi" w:hAnsiTheme="minorHAnsi" w:cstheme="minorHAnsi"/>
          <w:sz w:val="22"/>
          <w:lang w:eastAsia="en-AU"/>
        </w:rPr>
        <w:t xml:space="preserve"> main contributor to the recent growth in welfare spending</w:t>
      </w:r>
      <w:r w:rsidR="00ED0D7A">
        <w:rPr>
          <w:rFonts w:asciiTheme="minorHAnsi" w:hAnsiTheme="minorHAnsi" w:cstheme="minorHAnsi"/>
          <w:sz w:val="22"/>
          <w:lang w:eastAsia="en-AU"/>
        </w:rPr>
        <w:t xml:space="preserve">. At </w:t>
      </w:r>
      <w:r w:rsidR="00ED0D7A" w:rsidRPr="00BB5D86">
        <w:rPr>
          <w:rFonts w:asciiTheme="minorHAnsi" w:hAnsiTheme="minorHAnsi" w:cstheme="minorHAnsi"/>
          <w:sz w:val="22"/>
          <w:lang w:eastAsia="en-AU"/>
        </w:rPr>
        <w:t xml:space="preserve">$36 billion, is a third of the entire welfare budget and nearly 10% of the entire Commonwealth </w:t>
      </w:r>
      <w:r w:rsidR="00FD2125">
        <w:rPr>
          <w:rFonts w:asciiTheme="minorHAnsi" w:hAnsiTheme="minorHAnsi" w:cstheme="minorHAnsi"/>
          <w:sz w:val="22"/>
          <w:lang w:eastAsia="en-AU"/>
        </w:rPr>
        <w:t>b</w:t>
      </w:r>
      <w:r w:rsidR="00ED0D7A" w:rsidRPr="00BB5D86">
        <w:rPr>
          <w:rFonts w:asciiTheme="minorHAnsi" w:hAnsiTheme="minorHAnsi" w:cstheme="minorHAnsi"/>
          <w:sz w:val="22"/>
          <w:lang w:eastAsia="en-AU"/>
        </w:rPr>
        <w:t>udget.</w:t>
      </w:r>
      <w:r w:rsidR="00D35273" w:rsidRPr="00D35273">
        <w:rPr>
          <w:rFonts w:asciiTheme="minorHAnsi" w:hAnsiTheme="minorHAnsi" w:cstheme="minorHAnsi"/>
          <w:sz w:val="22"/>
          <w:lang w:eastAsia="en-AU"/>
        </w:rPr>
        <w:t xml:space="preserve"> </w:t>
      </w:r>
      <w:r w:rsidR="00D35273" w:rsidRPr="00452B46">
        <w:rPr>
          <w:rFonts w:asciiTheme="minorHAnsi" w:hAnsiTheme="minorHAnsi" w:cstheme="minorHAnsi"/>
          <w:sz w:val="22"/>
          <w:lang w:eastAsia="en-AU"/>
        </w:rPr>
        <w:t>Also excluded from th</w:t>
      </w:r>
      <w:r w:rsidR="005D278C">
        <w:rPr>
          <w:rFonts w:asciiTheme="minorHAnsi" w:hAnsiTheme="minorHAnsi" w:cstheme="minorHAnsi"/>
          <w:sz w:val="22"/>
          <w:lang w:eastAsia="en-AU"/>
        </w:rPr>
        <w:t>e McClure</w:t>
      </w:r>
      <w:r w:rsidR="00D35273" w:rsidRPr="00452B46">
        <w:rPr>
          <w:rFonts w:asciiTheme="minorHAnsi" w:hAnsiTheme="minorHAnsi" w:cstheme="minorHAnsi"/>
          <w:sz w:val="22"/>
          <w:lang w:eastAsia="en-AU"/>
        </w:rPr>
        <w:t xml:space="preserve"> review is almost $20 million in Family Tax Benefits payments and childcare support, as well as the $5.5 billion Paid Parental Leave scheme</w:t>
      </w:r>
      <w:r w:rsidR="00D35273">
        <w:rPr>
          <w:rFonts w:asciiTheme="minorHAnsi" w:hAnsiTheme="minorHAnsi" w:cstheme="minorHAnsi"/>
          <w:sz w:val="22"/>
          <w:lang w:eastAsia="en-AU"/>
        </w:rPr>
        <w:t>.</w:t>
      </w:r>
    </w:p>
    <w:p w:rsidR="000B37C2" w:rsidRDefault="000B37C2" w:rsidP="00D35273">
      <w:pPr>
        <w:jc w:val="both"/>
        <w:rPr>
          <w:rFonts w:asciiTheme="minorHAnsi" w:hAnsiTheme="minorHAnsi" w:cstheme="minorHAnsi"/>
          <w:sz w:val="22"/>
          <w:lang w:eastAsia="en-AU"/>
        </w:rPr>
      </w:pPr>
    </w:p>
    <w:p w:rsidR="000B37C2" w:rsidRDefault="000B37C2" w:rsidP="00D35273">
      <w:pPr>
        <w:jc w:val="both"/>
        <w:rPr>
          <w:rFonts w:asciiTheme="minorHAnsi" w:hAnsiTheme="minorHAnsi" w:cstheme="minorHAnsi"/>
          <w:sz w:val="22"/>
          <w:lang w:eastAsia="en-AU"/>
        </w:rPr>
      </w:pPr>
      <w:r>
        <w:rPr>
          <w:rFonts w:asciiTheme="minorHAnsi" w:hAnsiTheme="minorHAnsi" w:cstheme="minorHAnsi"/>
          <w:sz w:val="22"/>
          <w:lang w:eastAsia="en-AU"/>
        </w:rPr>
        <w:t>The IMF has found that Australia forgoes more revenue as a proportion of GDP than all other OECD nations</w:t>
      </w:r>
      <w:r>
        <w:rPr>
          <w:rStyle w:val="FootnoteReference"/>
          <w:rFonts w:asciiTheme="minorHAnsi" w:hAnsiTheme="minorHAnsi" w:cstheme="minorHAnsi"/>
          <w:sz w:val="22"/>
          <w:lang w:eastAsia="en-AU"/>
        </w:rPr>
        <w:footnoteReference w:id="1"/>
      </w:r>
      <w:r>
        <w:rPr>
          <w:rFonts w:asciiTheme="minorHAnsi" w:hAnsiTheme="minorHAnsi" w:cstheme="minorHAnsi"/>
          <w:sz w:val="22"/>
          <w:lang w:eastAsia="en-AU"/>
        </w:rPr>
        <w:t xml:space="preserve">. We propose a number of tax and revenue savings that would offset our recommendations for spending. </w:t>
      </w:r>
    </w:p>
    <w:p w:rsidR="000148FD" w:rsidRDefault="000148FD" w:rsidP="00D35273">
      <w:pPr>
        <w:jc w:val="both"/>
        <w:rPr>
          <w:rFonts w:asciiTheme="minorHAnsi" w:hAnsiTheme="minorHAnsi" w:cstheme="minorHAnsi"/>
          <w:sz w:val="22"/>
          <w:lang w:eastAsia="en-AU"/>
        </w:rPr>
      </w:pPr>
    </w:p>
    <w:p w:rsidR="00166490" w:rsidRDefault="00166490" w:rsidP="00D35273">
      <w:pPr>
        <w:jc w:val="both"/>
        <w:rPr>
          <w:rFonts w:asciiTheme="minorHAnsi" w:hAnsiTheme="minorHAnsi" w:cstheme="minorHAnsi"/>
          <w:sz w:val="22"/>
          <w:lang w:eastAsia="en-AU"/>
        </w:rPr>
      </w:pPr>
      <w:r>
        <w:rPr>
          <w:rFonts w:asciiTheme="minorHAnsi" w:hAnsiTheme="minorHAnsi" w:cstheme="minorHAnsi"/>
          <w:sz w:val="22"/>
          <w:lang w:eastAsia="en-AU"/>
        </w:rPr>
        <w:t>NWRN supports a series of recommendation</w:t>
      </w:r>
      <w:r w:rsidR="00137B51">
        <w:rPr>
          <w:rFonts w:asciiTheme="minorHAnsi" w:hAnsiTheme="minorHAnsi" w:cstheme="minorHAnsi"/>
          <w:sz w:val="22"/>
          <w:lang w:eastAsia="en-AU"/>
        </w:rPr>
        <w:t>s</w:t>
      </w:r>
      <w:r>
        <w:rPr>
          <w:rFonts w:asciiTheme="minorHAnsi" w:hAnsiTheme="minorHAnsi" w:cstheme="minorHAnsi"/>
          <w:sz w:val="22"/>
          <w:lang w:eastAsia="en-AU"/>
        </w:rPr>
        <w:t xml:space="preserve"> that would make our taxation system fairer and more sustainable. Many of these have been developed by the Australian Council of Social Services (ACOSS), the peak social services agency in Australia.</w:t>
      </w:r>
    </w:p>
    <w:p w:rsidR="00137B51" w:rsidRPr="00137B51" w:rsidRDefault="00137B51" w:rsidP="00D35273">
      <w:pPr>
        <w:jc w:val="both"/>
        <w:rPr>
          <w:rFonts w:asciiTheme="minorHAnsi" w:hAnsiTheme="minorHAnsi" w:cstheme="minorHAnsi"/>
          <w:sz w:val="22"/>
          <w:szCs w:val="22"/>
          <w:lang w:eastAsia="en-AU"/>
        </w:rPr>
      </w:pPr>
    </w:p>
    <w:p w:rsidR="00137B51" w:rsidRPr="00137B51" w:rsidRDefault="00137B51" w:rsidP="00137B51">
      <w:pPr>
        <w:jc w:val="both"/>
        <w:rPr>
          <w:rFonts w:asciiTheme="minorHAnsi" w:hAnsiTheme="minorHAnsi" w:cstheme="minorHAnsi"/>
          <w:sz w:val="22"/>
          <w:szCs w:val="22"/>
        </w:rPr>
      </w:pPr>
      <w:r w:rsidRPr="00137B51">
        <w:rPr>
          <w:rFonts w:asciiTheme="minorHAnsi" w:hAnsiTheme="minorHAnsi" w:cstheme="minorHAnsi"/>
          <w:sz w:val="22"/>
          <w:szCs w:val="22"/>
        </w:rPr>
        <w:t>It is concerning that the Commission of Audit was not tasked with and therefore will not undertake a comprehensive examination of all taxation-related expenditures.  Tax exemptions and concessions, including some superannuation concessions, capital gains exemptions and negative gearing, are considerable. The Australian Council of Social Service (ACOSS) notes that over the last decade, this type of expenditure has increased from 4.1% of GDP in 2001-02 to 7.6% in 2011-12.</w:t>
      </w:r>
      <w:r w:rsidRPr="00137B51">
        <w:rPr>
          <w:rFonts w:asciiTheme="minorHAnsi" w:hAnsiTheme="minorHAnsi" w:cstheme="minorHAnsi"/>
          <w:sz w:val="22"/>
          <w:szCs w:val="22"/>
        </w:rPr>
        <w:footnoteReference w:id="2"/>
      </w:r>
      <w:r w:rsidRPr="00137B51">
        <w:rPr>
          <w:rFonts w:asciiTheme="minorHAnsi" w:hAnsiTheme="minorHAnsi" w:cstheme="minorHAnsi"/>
          <w:sz w:val="22"/>
          <w:szCs w:val="22"/>
        </w:rPr>
        <w:t xml:space="preserve">  This represents an increase in tax expenditures of 46%.</w:t>
      </w:r>
    </w:p>
    <w:p w:rsidR="00166490" w:rsidRDefault="00166490" w:rsidP="00D35273">
      <w:pPr>
        <w:jc w:val="both"/>
        <w:rPr>
          <w:rFonts w:asciiTheme="minorHAnsi" w:hAnsiTheme="minorHAnsi" w:cstheme="minorHAnsi"/>
          <w:sz w:val="22"/>
          <w:lang w:eastAsia="en-AU"/>
        </w:rPr>
      </w:pPr>
    </w:p>
    <w:p w:rsidR="00D45B96" w:rsidRDefault="00D45B96" w:rsidP="00D45B96">
      <w:pPr>
        <w:pStyle w:val="Heading3"/>
      </w:pPr>
      <w:bookmarkStart w:id="2" w:name="_Toc379199678"/>
      <w:r>
        <w:t>Recommendations</w:t>
      </w:r>
      <w:bookmarkEnd w:id="2"/>
    </w:p>
    <w:p w:rsidR="00D45B96" w:rsidRPr="00956D90" w:rsidRDefault="00D45B96" w:rsidP="00D35273">
      <w:pPr>
        <w:jc w:val="both"/>
        <w:rPr>
          <w:rFonts w:asciiTheme="minorHAnsi" w:hAnsiTheme="minorHAnsi" w:cstheme="minorHAnsi"/>
          <w:sz w:val="22"/>
          <w:szCs w:val="22"/>
          <w:lang w:eastAsia="en-AU"/>
        </w:rPr>
      </w:pPr>
    </w:p>
    <w:p w:rsidR="00D64A5C" w:rsidRPr="00956D90" w:rsidRDefault="00D64A5C" w:rsidP="009F0604">
      <w:pPr>
        <w:pStyle w:val="ListParagraph"/>
        <w:numPr>
          <w:ilvl w:val="0"/>
          <w:numId w:val="37"/>
        </w:numPr>
        <w:autoSpaceDE w:val="0"/>
        <w:autoSpaceDN w:val="0"/>
        <w:adjustRightInd w:val="0"/>
        <w:spacing w:before="240" w:after="240" w:line="40" w:lineRule="atLeast"/>
        <w:rPr>
          <w:rFonts w:asciiTheme="minorHAnsi" w:eastAsia="Times New Roman" w:hAnsiTheme="minorHAnsi" w:cstheme="minorHAnsi"/>
          <w:color w:val="auto"/>
          <w:sz w:val="22"/>
          <w:szCs w:val="22"/>
          <w:lang w:eastAsia="en-AU"/>
        </w:rPr>
      </w:pPr>
      <w:r w:rsidRPr="00956D90">
        <w:rPr>
          <w:rFonts w:asciiTheme="minorHAnsi" w:eastAsia="Times New Roman" w:hAnsiTheme="minorHAnsi" w:cstheme="minorHAnsi"/>
          <w:color w:val="auto"/>
          <w:sz w:val="22"/>
          <w:szCs w:val="22"/>
          <w:lang w:eastAsia="en-AU"/>
        </w:rPr>
        <w:t xml:space="preserve">That the rate for all allowance payments for single people be increased by $50 per week from March 2015. </w:t>
      </w:r>
    </w:p>
    <w:p w:rsidR="00D64A5C" w:rsidRPr="00956D90" w:rsidRDefault="00D64A5C" w:rsidP="009F0604">
      <w:pPr>
        <w:pStyle w:val="ListParagraph"/>
        <w:autoSpaceDE w:val="0"/>
        <w:autoSpaceDN w:val="0"/>
        <w:adjustRightInd w:val="0"/>
        <w:spacing w:before="240" w:after="240" w:line="40" w:lineRule="atLeast"/>
        <w:ind w:left="360"/>
        <w:rPr>
          <w:rFonts w:asciiTheme="minorHAnsi" w:eastAsia="Times New Roman" w:hAnsiTheme="minorHAnsi" w:cstheme="minorHAnsi"/>
          <w:color w:val="auto"/>
          <w:sz w:val="22"/>
          <w:szCs w:val="22"/>
          <w:lang w:eastAsia="en-AU"/>
        </w:rPr>
      </w:pPr>
    </w:p>
    <w:p w:rsidR="00D64A5C" w:rsidRPr="00956D90" w:rsidRDefault="00D64A5C" w:rsidP="009F0604">
      <w:pPr>
        <w:pStyle w:val="ListParagraph"/>
        <w:numPr>
          <w:ilvl w:val="0"/>
          <w:numId w:val="37"/>
        </w:numPr>
        <w:autoSpaceDE w:val="0"/>
        <w:autoSpaceDN w:val="0"/>
        <w:adjustRightInd w:val="0"/>
        <w:spacing w:before="240" w:after="240" w:line="40" w:lineRule="atLeast"/>
        <w:rPr>
          <w:rFonts w:asciiTheme="minorHAnsi" w:eastAsia="Times New Roman" w:hAnsiTheme="minorHAnsi" w:cstheme="minorHAnsi"/>
          <w:color w:val="auto"/>
          <w:sz w:val="22"/>
          <w:szCs w:val="22"/>
          <w:lang w:eastAsia="en-AU"/>
        </w:rPr>
      </w:pPr>
      <w:r w:rsidRPr="00956D90">
        <w:rPr>
          <w:rFonts w:asciiTheme="minorHAnsi" w:eastAsia="Times New Roman" w:hAnsiTheme="minorHAnsi" w:cstheme="minorHAnsi"/>
          <w:color w:val="auto"/>
          <w:sz w:val="22"/>
          <w:szCs w:val="22"/>
          <w:lang w:eastAsia="en-AU"/>
        </w:rPr>
        <w:t xml:space="preserve">That the single rate be benchmarked to 66.3% of the combined married couple rate of Allowances as is the case for pension payments (and a higher rate in the case of sole parents). </w:t>
      </w:r>
    </w:p>
    <w:p w:rsidR="00D64A5C" w:rsidRPr="00956D90" w:rsidRDefault="00D64A5C" w:rsidP="009F0604">
      <w:pPr>
        <w:pStyle w:val="ListParagraph"/>
        <w:autoSpaceDE w:val="0"/>
        <w:autoSpaceDN w:val="0"/>
        <w:adjustRightInd w:val="0"/>
        <w:spacing w:before="240" w:after="240" w:line="40" w:lineRule="atLeast"/>
        <w:ind w:left="360"/>
        <w:rPr>
          <w:rFonts w:asciiTheme="minorHAnsi" w:eastAsia="Times New Roman" w:hAnsiTheme="minorHAnsi" w:cstheme="minorHAnsi"/>
          <w:color w:val="auto"/>
          <w:sz w:val="22"/>
          <w:szCs w:val="22"/>
          <w:lang w:eastAsia="en-AU"/>
        </w:rPr>
      </w:pPr>
    </w:p>
    <w:p w:rsidR="00D64A5C" w:rsidRPr="00956D90" w:rsidRDefault="00D64A5C" w:rsidP="009F0604">
      <w:pPr>
        <w:pStyle w:val="ListParagraph"/>
        <w:numPr>
          <w:ilvl w:val="0"/>
          <w:numId w:val="37"/>
        </w:numPr>
        <w:autoSpaceDE w:val="0"/>
        <w:autoSpaceDN w:val="0"/>
        <w:adjustRightInd w:val="0"/>
        <w:spacing w:before="240" w:after="240" w:line="40" w:lineRule="atLeast"/>
        <w:rPr>
          <w:rFonts w:asciiTheme="minorHAnsi" w:eastAsia="Times New Roman" w:hAnsiTheme="minorHAnsi" w:cstheme="minorHAnsi"/>
          <w:color w:val="auto"/>
          <w:sz w:val="22"/>
          <w:szCs w:val="22"/>
          <w:lang w:eastAsia="en-AU"/>
        </w:rPr>
      </w:pPr>
      <w:r w:rsidRPr="00956D90">
        <w:rPr>
          <w:rFonts w:asciiTheme="minorHAnsi" w:eastAsia="Times New Roman" w:hAnsiTheme="minorHAnsi" w:cstheme="minorHAnsi"/>
          <w:color w:val="auto"/>
          <w:sz w:val="22"/>
          <w:szCs w:val="22"/>
          <w:lang w:eastAsia="en-AU"/>
        </w:rPr>
        <w:t xml:space="preserve">From March 2015 all allowance and related payments (including </w:t>
      </w:r>
      <w:proofErr w:type="spellStart"/>
      <w:r w:rsidRPr="00956D90">
        <w:rPr>
          <w:rFonts w:asciiTheme="minorHAnsi" w:eastAsia="Times New Roman" w:hAnsiTheme="minorHAnsi" w:cstheme="minorHAnsi"/>
          <w:color w:val="auto"/>
          <w:sz w:val="22"/>
          <w:szCs w:val="22"/>
          <w:lang w:eastAsia="en-AU"/>
        </w:rPr>
        <w:t>Austudy</w:t>
      </w:r>
      <w:proofErr w:type="spellEnd"/>
      <w:r w:rsidRPr="00956D90">
        <w:rPr>
          <w:rFonts w:asciiTheme="minorHAnsi" w:eastAsia="Times New Roman" w:hAnsiTheme="minorHAnsi" w:cstheme="minorHAnsi"/>
          <w:color w:val="auto"/>
          <w:sz w:val="22"/>
          <w:szCs w:val="22"/>
          <w:lang w:eastAsia="en-AU"/>
        </w:rPr>
        <w:t>, ABSTUDY, Special Benefit) should be indexed six monthly to movements in wages.</w:t>
      </w:r>
    </w:p>
    <w:p w:rsidR="00D64A5C" w:rsidRPr="00956D90" w:rsidRDefault="00D64A5C" w:rsidP="009F0604">
      <w:pPr>
        <w:pStyle w:val="ListParagraph"/>
        <w:autoSpaceDE w:val="0"/>
        <w:autoSpaceDN w:val="0"/>
        <w:adjustRightInd w:val="0"/>
        <w:spacing w:before="240" w:after="240" w:line="40" w:lineRule="atLeast"/>
        <w:ind w:left="360"/>
        <w:rPr>
          <w:rFonts w:asciiTheme="minorHAnsi" w:eastAsia="Times New Roman" w:hAnsiTheme="minorHAnsi" w:cstheme="minorHAnsi"/>
          <w:color w:val="auto"/>
          <w:sz w:val="22"/>
          <w:szCs w:val="22"/>
          <w:lang w:eastAsia="en-AU"/>
        </w:rPr>
      </w:pPr>
    </w:p>
    <w:p w:rsidR="00D64A5C" w:rsidRPr="00956D90" w:rsidRDefault="00D64A5C" w:rsidP="009F0604">
      <w:pPr>
        <w:pStyle w:val="ListParagraph"/>
        <w:numPr>
          <w:ilvl w:val="0"/>
          <w:numId w:val="37"/>
        </w:numPr>
        <w:spacing w:before="240" w:after="240" w:line="40" w:lineRule="atLeast"/>
        <w:jc w:val="both"/>
        <w:rPr>
          <w:rFonts w:asciiTheme="minorHAnsi" w:hAnsiTheme="minorHAnsi" w:cstheme="minorHAnsi"/>
          <w:color w:val="auto"/>
          <w:sz w:val="22"/>
          <w:szCs w:val="22"/>
          <w:lang w:eastAsia="en-AU"/>
        </w:rPr>
      </w:pPr>
      <w:r w:rsidRPr="00956D90">
        <w:rPr>
          <w:rFonts w:asciiTheme="minorHAnsi" w:hAnsiTheme="minorHAnsi" w:cstheme="minorHAnsi"/>
          <w:color w:val="auto"/>
          <w:sz w:val="22"/>
          <w:szCs w:val="22"/>
          <w:lang w:eastAsia="en-AU"/>
        </w:rPr>
        <w:t>Increase investment in employment assistance that offers greater flexibility and choice for job seekers.</w:t>
      </w:r>
    </w:p>
    <w:p w:rsidR="00D64A5C" w:rsidRPr="00956D90" w:rsidRDefault="00D64A5C" w:rsidP="009F0604">
      <w:pPr>
        <w:pStyle w:val="ListParagraph"/>
        <w:spacing w:before="240" w:after="240" w:line="40" w:lineRule="atLeast"/>
        <w:ind w:left="360"/>
        <w:jc w:val="both"/>
        <w:rPr>
          <w:rFonts w:asciiTheme="minorHAnsi" w:hAnsiTheme="minorHAnsi" w:cstheme="minorHAnsi"/>
          <w:color w:val="auto"/>
          <w:sz w:val="22"/>
          <w:szCs w:val="22"/>
          <w:lang w:eastAsia="en-AU"/>
        </w:rPr>
      </w:pPr>
    </w:p>
    <w:p w:rsidR="00D64A5C" w:rsidRPr="00956D90" w:rsidRDefault="00D64A5C" w:rsidP="009F0604">
      <w:pPr>
        <w:pStyle w:val="ListParagraph"/>
        <w:numPr>
          <w:ilvl w:val="0"/>
          <w:numId w:val="37"/>
        </w:numPr>
        <w:spacing w:before="240" w:after="240" w:line="40" w:lineRule="atLeast"/>
        <w:jc w:val="both"/>
        <w:rPr>
          <w:rFonts w:asciiTheme="minorHAnsi" w:hAnsiTheme="minorHAnsi" w:cstheme="minorHAnsi"/>
          <w:color w:val="auto"/>
          <w:sz w:val="22"/>
          <w:szCs w:val="22"/>
          <w:lang w:eastAsia="en-AU"/>
        </w:rPr>
      </w:pPr>
      <w:r w:rsidRPr="00956D90">
        <w:rPr>
          <w:rFonts w:asciiTheme="minorHAnsi" w:hAnsiTheme="minorHAnsi" w:cstheme="minorHAnsi"/>
          <w:color w:val="auto"/>
          <w:sz w:val="22"/>
          <w:szCs w:val="22"/>
          <w:lang w:eastAsia="en-AU"/>
        </w:rPr>
        <w:t>That 20,000 six-monthly ‘wage subsidy’ placements be available over the next four years for very long term unemployed people who have been looking for work for over two years.</w:t>
      </w:r>
    </w:p>
    <w:p w:rsidR="00D64A5C" w:rsidRPr="00956D90" w:rsidRDefault="00D64A5C" w:rsidP="009F0604">
      <w:pPr>
        <w:pStyle w:val="ListParagraph"/>
        <w:spacing w:before="240" w:after="240" w:line="40" w:lineRule="atLeast"/>
        <w:ind w:left="360"/>
        <w:jc w:val="both"/>
        <w:rPr>
          <w:rFonts w:asciiTheme="minorHAnsi" w:hAnsiTheme="minorHAnsi" w:cstheme="minorHAnsi"/>
          <w:color w:val="auto"/>
          <w:sz w:val="22"/>
          <w:szCs w:val="22"/>
          <w:lang w:eastAsia="en-AU"/>
        </w:rPr>
      </w:pPr>
    </w:p>
    <w:p w:rsidR="00D64A5C" w:rsidRPr="00956D90" w:rsidRDefault="00D64A5C" w:rsidP="009F0604">
      <w:pPr>
        <w:pStyle w:val="ListParagraph"/>
        <w:numPr>
          <w:ilvl w:val="0"/>
          <w:numId w:val="37"/>
        </w:numPr>
        <w:spacing w:before="240" w:after="240" w:line="40" w:lineRule="atLeast"/>
        <w:jc w:val="both"/>
        <w:rPr>
          <w:rFonts w:asciiTheme="minorHAnsi" w:hAnsiTheme="minorHAnsi" w:cstheme="minorHAnsi"/>
          <w:color w:val="auto"/>
          <w:sz w:val="22"/>
          <w:szCs w:val="22"/>
          <w:lang w:eastAsia="en-AU"/>
        </w:rPr>
      </w:pPr>
      <w:r w:rsidRPr="00956D90">
        <w:rPr>
          <w:rFonts w:asciiTheme="minorHAnsi" w:hAnsiTheme="minorHAnsi" w:cstheme="minorHAnsi"/>
          <w:color w:val="auto"/>
          <w:sz w:val="22"/>
          <w:szCs w:val="22"/>
          <w:lang w:eastAsia="en-AU"/>
        </w:rPr>
        <w:t xml:space="preserve">That the Federal Government establish a dedicated six monthly wage subsidy scheme for young people under 22 years of age.  The program would provide 1000 places in five areas of high levels of youth unemployment. Thus, in total this </w:t>
      </w:r>
      <w:r w:rsidRPr="00956D90">
        <w:rPr>
          <w:rFonts w:asciiTheme="minorHAnsi" w:hAnsiTheme="minorHAnsi" w:cstheme="minorHAnsi"/>
          <w:i/>
          <w:color w:val="auto"/>
          <w:sz w:val="22"/>
          <w:szCs w:val="22"/>
          <w:lang w:eastAsia="en-AU"/>
        </w:rPr>
        <w:t>Youth Futures</w:t>
      </w:r>
      <w:r w:rsidRPr="00956D90">
        <w:rPr>
          <w:rFonts w:asciiTheme="minorHAnsi" w:hAnsiTheme="minorHAnsi" w:cstheme="minorHAnsi"/>
          <w:color w:val="auto"/>
          <w:sz w:val="22"/>
          <w:szCs w:val="22"/>
          <w:lang w:eastAsia="en-AU"/>
        </w:rPr>
        <w:t xml:space="preserve"> scheme would offer 5,000 places per annum.</w:t>
      </w:r>
    </w:p>
    <w:p w:rsidR="00D64A5C" w:rsidRPr="00956D90" w:rsidRDefault="00D64A5C" w:rsidP="009F0604">
      <w:pPr>
        <w:pStyle w:val="ListParagraph"/>
        <w:spacing w:before="240" w:after="240" w:line="40" w:lineRule="atLeast"/>
        <w:ind w:left="360"/>
        <w:jc w:val="both"/>
        <w:rPr>
          <w:rFonts w:asciiTheme="minorHAnsi" w:hAnsiTheme="minorHAnsi" w:cstheme="minorHAnsi"/>
          <w:color w:val="auto"/>
          <w:sz w:val="22"/>
          <w:szCs w:val="22"/>
          <w:lang w:eastAsia="en-AU"/>
        </w:rPr>
      </w:pPr>
    </w:p>
    <w:p w:rsidR="00D64A5C" w:rsidRPr="00956D90" w:rsidRDefault="00D64A5C" w:rsidP="009F0604">
      <w:pPr>
        <w:pStyle w:val="ListParagraph"/>
        <w:numPr>
          <w:ilvl w:val="0"/>
          <w:numId w:val="37"/>
        </w:numPr>
        <w:spacing w:before="240" w:after="240" w:line="40" w:lineRule="atLeast"/>
        <w:jc w:val="both"/>
        <w:rPr>
          <w:rFonts w:asciiTheme="minorHAnsi" w:hAnsiTheme="minorHAnsi" w:cstheme="minorHAnsi"/>
          <w:color w:val="auto"/>
          <w:sz w:val="22"/>
          <w:szCs w:val="22"/>
        </w:rPr>
      </w:pPr>
      <w:r w:rsidRPr="00956D90">
        <w:rPr>
          <w:rFonts w:asciiTheme="minorHAnsi" w:hAnsiTheme="minorHAnsi" w:cstheme="minorHAnsi"/>
          <w:color w:val="auto"/>
          <w:sz w:val="22"/>
          <w:szCs w:val="22"/>
        </w:rPr>
        <w:t>That the Government retain the twice yearly Income Support Bonus.  In the event that a substantial increase is not made to Allowances, then the Income Support Bonus be maintained in its entirety.</w:t>
      </w:r>
    </w:p>
    <w:p w:rsidR="00D64A5C" w:rsidRPr="00956D90" w:rsidRDefault="00D64A5C" w:rsidP="009F0604">
      <w:pPr>
        <w:pStyle w:val="ListParagraph"/>
        <w:spacing w:before="240" w:after="240" w:line="40" w:lineRule="atLeast"/>
        <w:ind w:left="360"/>
        <w:jc w:val="both"/>
        <w:rPr>
          <w:rFonts w:asciiTheme="minorHAnsi" w:hAnsiTheme="minorHAnsi" w:cstheme="minorHAnsi"/>
          <w:color w:val="auto"/>
          <w:sz w:val="22"/>
          <w:szCs w:val="22"/>
        </w:rPr>
      </w:pPr>
    </w:p>
    <w:p w:rsidR="00D64A5C" w:rsidRPr="00956D90" w:rsidRDefault="00D64A5C" w:rsidP="009F0604">
      <w:pPr>
        <w:pStyle w:val="ListParagraph"/>
        <w:numPr>
          <w:ilvl w:val="0"/>
          <w:numId w:val="37"/>
        </w:numPr>
        <w:spacing w:before="240" w:after="240" w:line="40" w:lineRule="atLeast"/>
        <w:jc w:val="both"/>
        <w:rPr>
          <w:rFonts w:asciiTheme="minorHAnsi" w:hAnsiTheme="minorHAnsi" w:cstheme="minorHAnsi"/>
          <w:color w:val="auto"/>
          <w:sz w:val="22"/>
          <w:szCs w:val="22"/>
          <w:lang w:eastAsia="en-AU"/>
        </w:rPr>
      </w:pPr>
      <w:r w:rsidRPr="00956D90">
        <w:rPr>
          <w:rFonts w:asciiTheme="minorHAnsi" w:hAnsiTheme="minorHAnsi" w:cstheme="minorHAnsi"/>
          <w:color w:val="auto"/>
          <w:sz w:val="22"/>
          <w:szCs w:val="22"/>
          <w:lang w:eastAsia="en-AU"/>
        </w:rPr>
        <w:t xml:space="preserve">That the Government adopt measures to improve housing and rental affordability by </w:t>
      </w:r>
      <w:r w:rsidRPr="00956D90">
        <w:rPr>
          <w:rFonts w:asciiTheme="minorHAnsi" w:hAnsiTheme="minorHAnsi" w:cstheme="minorHAnsi"/>
          <w:color w:val="auto"/>
          <w:sz w:val="22"/>
          <w:szCs w:val="22"/>
        </w:rPr>
        <w:t>increasing the maximum rate of Rent Assistance by 30%, indexing Rent Assistance to movements in national rents and tasking the Productivity Commission to undertake a review of the effectiveness of Commonwealth housing assistance (including the appropriate roles of State and Territory Governments) and repealing the ‘sharers’ Rent Assistance rules.</w:t>
      </w:r>
    </w:p>
    <w:p w:rsidR="00D64A5C" w:rsidRPr="00956D90" w:rsidRDefault="00D64A5C" w:rsidP="009F0604">
      <w:pPr>
        <w:pStyle w:val="ListParagraph"/>
        <w:spacing w:before="240" w:after="240" w:line="40" w:lineRule="atLeast"/>
        <w:ind w:left="360"/>
        <w:jc w:val="both"/>
        <w:rPr>
          <w:rFonts w:asciiTheme="minorHAnsi" w:hAnsiTheme="minorHAnsi" w:cstheme="minorHAnsi"/>
          <w:color w:val="auto"/>
          <w:sz w:val="22"/>
          <w:szCs w:val="22"/>
          <w:lang w:eastAsia="en-AU"/>
        </w:rPr>
      </w:pPr>
    </w:p>
    <w:p w:rsidR="00D64A5C" w:rsidRPr="00956D90" w:rsidRDefault="00D64A5C" w:rsidP="009F0604">
      <w:pPr>
        <w:pStyle w:val="ListParagraph"/>
        <w:numPr>
          <w:ilvl w:val="0"/>
          <w:numId w:val="37"/>
        </w:numPr>
        <w:spacing w:before="240" w:after="240" w:line="40" w:lineRule="atLeast"/>
        <w:jc w:val="both"/>
        <w:rPr>
          <w:rFonts w:asciiTheme="minorHAnsi" w:hAnsiTheme="minorHAnsi" w:cstheme="minorHAnsi"/>
          <w:color w:val="auto"/>
          <w:sz w:val="22"/>
          <w:szCs w:val="22"/>
          <w:lang w:eastAsia="en-AU"/>
        </w:rPr>
      </w:pPr>
      <w:r w:rsidRPr="00956D90">
        <w:rPr>
          <w:rFonts w:asciiTheme="minorHAnsi" w:hAnsiTheme="minorHAnsi" w:cstheme="minorHAnsi"/>
          <w:color w:val="auto"/>
          <w:sz w:val="22"/>
          <w:szCs w:val="22"/>
          <w:lang w:eastAsia="en-AU"/>
        </w:rPr>
        <w:t>That supports for Indigenous employment and training be improved</w:t>
      </w:r>
    </w:p>
    <w:p w:rsidR="00D64A5C" w:rsidRPr="00956D90" w:rsidRDefault="00D64A5C" w:rsidP="009F0604">
      <w:pPr>
        <w:pStyle w:val="ListParagraph"/>
        <w:spacing w:before="240" w:after="240" w:line="40" w:lineRule="atLeast"/>
        <w:ind w:left="360"/>
        <w:jc w:val="both"/>
        <w:rPr>
          <w:rFonts w:asciiTheme="minorHAnsi" w:hAnsiTheme="minorHAnsi" w:cstheme="minorHAnsi"/>
          <w:color w:val="auto"/>
          <w:sz w:val="22"/>
          <w:szCs w:val="22"/>
          <w:lang w:eastAsia="en-AU"/>
        </w:rPr>
      </w:pPr>
    </w:p>
    <w:p w:rsidR="00D64A5C" w:rsidRPr="00956D90" w:rsidRDefault="00D64A5C" w:rsidP="009F0604">
      <w:pPr>
        <w:pStyle w:val="ListParagraph"/>
        <w:numPr>
          <w:ilvl w:val="0"/>
          <w:numId w:val="37"/>
        </w:numPr>
        <w:spacing w:before="240" w:after="240" w:line="40" w:lineRule="atLeast"/>
        <w:rPr>
          <w:rFonts w:asciiTheme="minorHAnsi" w:hAnsiTheme="minorHAnsi" w:cstheme="minorHAnsi"/>
          <w:color w:val="auto"/>
          <w:sz w:val="22"/>
          <w:szCs w:val="22"/>
        </w:rPr>
      </w:pPr>
      <w:r w:rsidRPr="00956D90">
        <w:rPr>
          <w:rFonts w:asciiTheme="minorHAnsi" w:hAnsiTheme="minorHAnsi" w:cstheme="minorHAnsi"/>
          <w:color w:val="auto"/>
          <w:sz w:val="22"/>
          <w:szCs w:val="22"/>
        </w:rPr>
        <w:t>That funding to Department of Human Services to administer Social Security payments be increased, not decreased. More Authorised Review Officers are needed to deal with appeal backlogs, more resources are required to reduce telephone and face to face wait times, and staffing levels generally need to be increased, not decreased. The availability of face to face services for customers who struggle with online and telephone self-service options must be preserved.</w:t>
      </w:r>
    </w:p>
    <w:p w:rsidR="00D64A5C" w:rsidRPr="00956D90" w:rsidRDefault="00D64A5C" w:rsidP="009F0604">
      <w:pPr>
        <w:pStyle w:val="ListParagraph"/>
        <w:spacing w:before="240" w:after="240" w:line="40" w:lineRule="atLeast"/>
        <w:ind w:left="360"/>
        <w:rPr>
          <w:rFonts w:asciiTheme="minorHAnsi" w:hAnsiTheme="minorHAnsi" w:cstheme="minorHAnsi"/>
          <w:color w:val="auto"/>
          <w:sz w:val="22"/>
          <w:szCs w:val="22"/>
        </w:rPr>
      </w:pPr>
    </w:p>
    <w:p w:rsidR="00D64A5C" w:rsidRPr="00956D90" w:rsidRDefault="00D64A5C" w:rsidP="009F0604">
      <w:pPr>
        <w:pStyle w:val="ListParagraph"/>
        <w:numPr>
          <w:ilvl w:val="0"/>
          <w:numId w:val="37"/>
        </w:numPr>
        <w:spacing w:before="240" w:after="240" w:line="40" w:lineRule="atLeast"/>
        <w:rPr>
          <w:rFonts w:asciiTheme="minorHAnsi" w:eastAsiaTheme="minorHAnsi" w:hAnsiTheme="minorHAnsi" w:cstheme="minorHAnsi"/>
          <w:color w:val="auto"/>
          <w:sz w:val="22"/>
          <w:szCs w:val="22"/>
          <w:lang w:eastAsia="en-AU"/>
        </w:rPr>
      </w:pPr>
      <w:r w:rsidRPr="00956D90">
        <w:rPr>
          <w:rFonts w:asciiTheme="minorHAnsi" w:eastAsiaTheme="minorHAnsi" w:hAnsiTheme="minorHAnsi" w:cstheme="minorHAnsi"/>
          <w:color w:val="auto"/>
          <w:sz w:val="22"/>
          <w:szCs w:val="22"/>
          <w:lang w:eastAsia="en-AU"/>
        </w:rPr>
        <w:t>That the requirement for a parent to forego Family Tax Benefit in the case of a child receiving Special Benefit be removed where the child’s parent is without a sufficient livelihood and is not receiving a social security payment.</w:t>
      </w:r>
    </w:p>
    <w:p w:rsidR="00D64A5C" w:rsidRPr="00956D90" w:rsidRDefault="00D64A5C" w:rsidP="009F0604">
      <w:pPr>
        <w:pStyle w:val="ListParagraph"/>
        <w:spacing w:before="240" w:after="240" w:line="40" w:lineRule="atLeast"/>
        <w:ind w:left="360"/>
        <w:rPr>
          <w:rFonts w:asciiTheme="minorHAnsi" w:eastAsiaTheme="minorHAnsi" w:hAnsiTheme="minorHAnsi" w:cstheme="minorHAnsi"/>
          <w:color w:val="auto"/>
          <w:sz w:val="22"/>
          <w:szCs w:val="22"/>
          <w:lang w:eastAsia="en-AU"/>
        </w:rPr>
      </w:pPr>
    </w:p>
    <w:p w:rsidR="00D64A5C" w:rsidRPr="00956D90" w:rsidRDefault="00D64A5C" w:rsidP="009F0604">
      <w:pPr>
        <w:pStyle w:val="ListParagraph"/>
        <w:numPr>
          <w:ilvl w:val="0"/>
          <w:numId w:val="37"/>
        </w:numPr>
        <w:spacing w:before="240" w:after="240" w:line="40" w:lineRule="atLeast"/>
        <w:rPr>
          <w:rFonts w:asciiTheme="minorHAnsi" w:hAnsiTheme="minorHAnsi" w:cstheme="minorHAnsi"/>
          <w:color w:val="auto"/>
          <w:sz w:val="22"/>
          <w:szCs w:val="22"/>
        </w:rPr>
      </w:pPr>
      <w:r w:rsidRPr="00956D90">
        <w:rPr>
          <w:rFonts w:asciiTheme="minorHAnsi" w:eastAsiaTheme="minorHAnsi" w:hAnsiTheme="minorHAnsi" w:cstheme="minorHAnsi"/>
          <w:color w:val="auto"/>
          <w:sz w:val="22"/>
          <w:szCs w:val="22"/>
        </w:rPr>
        <w:t xml:space="preserve">That </w:t>
      </w:r>
      <w:r w:rsidR="009F0604">
        <w:rPr>
          <w:rFonts w:asciiTheme="minorHAnsi" w:eastAsiaTheme="minorHAnsi" w:hAnsiTheme="minorHAnsi" w:cstheme="minorHAnsi"/>
          <w:color w:val="auto"/>
          <w:sz w:val="22"/>
          <w:szCs w:val="22"/>
        </w:rPr>
        <w:t xml:space="preserve">the </w:t>
      </w:r>
      <w:r w:rsidRPr="00956D90">
        <w:rPr>
          <w:rFonts w:asciiTheme="minorHAnsi" w:eastAsiaTheme="minorHAnsi" w:hAnsiTheme="minorHAnsi" w:cstheme="minorHAnsi"/>
          <w:color w:val="auto"/>
          <w:sz w:val="22"/>
          <w:szCs w:val="22"/>
        </w:rPr>
        <w:t>exemption from the newly arrived residents waiting period for spouse 309 and 820 visa holders be restored for Special Benefit payment only.</w:t>
      </w:r>
    </w:p>
    <w:p w:rsidR="00D64A5C" w:rsidRPr="00956D90" w:rsidRDefault="00D64A5C" w:rsidP="009F0604">
      <w:pPr>
        <w:pStyle w:val="ListParagraph"/>
        <w:spacing w:before="240" w:after="240" w:line="40" w:lineRule="atLeast"/>
        <w:ind w:left="360"/>
        <w:rPr>
          <w:rFonts w:asciiTheme="minorHAnsi" w:hAnsiTheme="minorHAnsi" w:cstheme="minorHAnsi"/>
          <w:color w:val="auto"/>
          <w:sz w:val="22"/>
          <w:szCs w:val="22"/>
        </w:rPr>
      </w:pPr>
    </w:p>
    <w:p w:rsidR="00D64A5C" w:rsidRPr="00956D90" w:rsidRDefault="00D64A5C" w:rsidP="009F0604">
      <w:pPr>
        <w:pStyle w:val="ListParagraph"/>
        <w:numPr>
          <w:ilvl w:val="0"/>
          <w:numId w:val="37"/>
        </w:numPr>
        <w:spacing w:before="240" w:after="240" w:line="40" w:lineRule="atLeast"/>
        <w:rPr>
          <w:rFonts w:asciiTheme="minorHAnsi" w:hAnsiTheme="minorHAnsi" w:cstheme="minorHAnsi"/>
          <w:color w:val="auto"/>
          <w:sz w:val="22"/>
          <w:szCs w:val="22"/>
        </w:rPr>
      </w:pPr>
      <w:r w:rsidRPr="00956D90">
        <w:rPr>
          <w:rFonts w:asciiTheme="minorHAnsi" w:hAnsiTheme="minorHAnsi" w:cstheme="minorHAnsi"/>
          <w:color w:val="auto"/>
          <w:sz w:val="22"/>
          <w:szCs w:val="22"/>
        </w:rPr>
        <w:t xml:space="preserve"> That the Minister for Social Services declare that visa subcategory 444 be declared as a visa eligible for Special Benefit if there are special circumstances and it would be unreasonable to expect the person to return to New Zealand to access benefits there. </w:t>
      </w:r>
    </w:p>
    <w:p w:rsidR="00D64A5C" w:rsidRPr="00956D90" w:rsidRDefault="00D64A5C" w:rsidP="009F0604">
      <w:pPr>
        <w:pStyle w:val="NormalWeb1"/>
        <w:numPr>
          <w:ilvl w:val="0"/>
          <w:numId w:val="37"/>
        </w:numPr>
        <w:spacing w:before="240" w:after="240" w:line="40" w:lineRule="atLeast"/>
        <w:rPr>
          <w:rFonts w:asciiTheme="minorHAnsi" w:hAnsiTheme="minorHAnsi" w:cstheme="minorHAnsi"/>
          <w:color w:val="auto"/>
          <w:sz w:val="22"/>
          <w:szCs w:val="22"/>
        </w:rPr>
      </w:pPr>
      <w:r w:rsidRPr="00956D90">
        <w:rPr>
          <w:rFonts w:asciiTheme="minorHAnsi" w:hAnsiTheme="minorHAnsi" w:cstheme="minorHAnsi"/>
          <w:color w:val="auto"/>
          <w:sz w:val="22"/>
          <w:szCs w:val="22"/>
        </w:rPr>
        <w:t>That the provisions for calculating preclusion periods be amended so that they are recalculated when the pension cut-off is indexed, and that legal costs be excluded from the gross lump sum used to calculate the preclusion period.</w:t>
      </w:r>
    </w:p>
    <w:p w:rsidR="00D64A5C" w:rsidRPr="00956D90" w:rsidRDefault="00D64A5C" w:rsidP="009F0604">
      <w:pPr>
        <w:pStyle w:val="ListParagraph"/>
        <w:numPr>
          <w:ilvl w:val="0"/>
          <w:numId w:val="37"/>
        </w:numPr>
        <w:spacing w:before="240" w:after="240" w:line="40" w:lineRule="atLeast"/>
        <w:rPr>
          <w:rFonts w:asciiTheme="minorHAnsi" w:hAnsiTheme="minorHAnsi" w:cstheme="minorHAnsi"/>
          <w:color w:val="auto"/>
          <w:sz w:val="22"/>
          <w:szCs w:val="22"/>
          <w:lang w:eastAsia="en-AU"/>
        </w:rPr>
      </w:pPr>
      <w:r w:rsidRPr="00956D90">
        <w:rPr>
          <w:rFonts w:asciiTheme="minorHAnsi" w:hAnsiTheme="minorHAnsi" w:cstheme="minorHAnsi"/>
          <w:color w:val="auto"/>
          <w:sz w:val="22"/>
          <w:szCs w:val="22"/>
          <w:lang w:eastAsia="en-AU"/>
        </w:rPr>
        <w:t>That the current exemptions from the program of support rules be extended to people incapable of benefitting from participation, irrespective of whether they had participated in a ‘program of support’ at the date of claim.</w:t>
      </w:r>
    </w:p>
    <w:p w:rsidR="00D64A5C" w:rsidRPr="00956D90" w:rsidRDefault="00D64A5C" w:rsidP="009F0604">
      <w:pPr>
        <w:pStyle w:val="ListParagraph"/>
        <w:spacing w:before="240" w:after="240" w:line="40" w:lineRule="atLeast"/>
        <w:ind w:left="360"/>
        <w:rPr>
          <w:rFonts w:asciiTheme="minorHAnsi" w:hAnsiTheme="minorHAnsi" w:cstheme="minorHAnsi"/>
          <w:color w:val="auto"/>
          <w:sz w:val="22"/>
          <w:szCs w:val="22"/>
          <w:lang w:eastAsia="en-AU"/>
        </w:rPr>
      </w:pPr>
    </w:p>
    <w:p w:rsidR="00D64A5C" w:rsidRPr="00956D90" w:rsidRDefault="00D64A5C" w:rsidP="009F0604">
      <w:pPr>
        <w:pStyle w:val="ListParagraph"/>
        <w:numPr>
          <w:ilvl w:val="0"/>
          <w:numId w:val="37"/>
        </w:numPr>
        <w:spacing w:before="240" w:after="240" w:line="40" w:lineRule="atLeast"/>
        <w:rPr>
          <w:rFonts w:asciiTheme="minorHAnsi" w:hAnsiTheme="minorHAnsi" w:cstheme="minorHAnsi"/>
          <w:color w:val="auto"/>
          <w:sz w:val="22"/>
          <w:szCs w:val="22"/>
        </w:rPr>
      </w:pPr>
      <w:r w:rsidRPr="00956D90">
        <w:rPr>
          <w:rFonts w:asciiTheme="minorHAnsi" w:hAnsiTheme="minorHAnsi" w:cstheme="minorHAnsi"/>
          <w:color w:val="auto"/>
          <w:sz w:val="22"/>
          <w:szCs w:val="22"/>
        </w:rPr>
        <w:t>That the Federal Government develop specific strategies to reduce homelessness among older people, and to provide appropriate services and support for older people needing crisis accommodation.</w:t>
      </w:r>
    </w:p>
    <w:p w:rsidR="00D64A5C" w:rsidRPr="00956D90" w:rsidRDefault="00D64A5C" w:rsidP="009F0604">
      <w:pPr>
        <w:pStyle w:val="ListParagraph"/>
        <w:spacing w:before="240" w:after="240" w:line="40" w:lineRule="atLeast"/>
        <w:ind w:left="360"/>
        <w:rPr>
          <w:rFonts w:asciiTheme="minorHAnsi" w:hAnsiTheme="minorHAnsi" w:cstheme="minorHAnsi"/>
          <w:color w:val="auto"/>
          <w:sz w:val="22"/>
          <w:szCs w:val="22"/>
        </w:rPr>
      </w:pPr>
    </w:p>
    <w:p w:rsidR="00D64A5C" w:rsidRPr="00956D90" w:rsidRDefault="00D64A5C" w:rsidP="009F0604">
      <w:pPr>
        <w:pStyle w:val="ListParagraph"/>
        <w:numPr>
          <w:ilvl w:val="0"/>
          <w:numId w:val="37"/>
        </w:numPr>
        <w:spacing w:before="240" w:after="240" w:line="40" w:lineRule="atLeast"/>
        <w:rPr>
          <w:rFonts w:asciiTheme="minorHAnsi" w:hAnsiTheme="minorHAnsi" w:cstheme="minorHAnsi"/>
          <w:color w:val="auto"/>
          <w:sz w:val="22"/>
          <w:szCs w:val="22"/>
        </w:rPr>
      </w:pPr>
      <w:r w:rsidRPr="00956D90">
        <w:rPr>
          <w:rFonts w:asciiTheme="minorHAnsi" w:hAnsiTheme="minorHAnsi" w:cstheme="minorHAnsi"/>
          <w:color w:val="auto"/>
          <w:sz w:val="22"/>
          <w:szCs w:val="22"/>
        </w:rPr>
        <w:t>That Federal Government increase funding for Welfare Rights caseworkers across Australia by $1.5 million per annum.</w:t>
      </w:r>
    </w:p>
    <w:p w:rsidR="00D64A5C" w:rsidRPr="00956D90" w:rsidRDefault="00D64A5C" w:rsidP="009F0604">
      <w:pPr>
        <w:pStyle w:val="ListParagraph"/>
        <w:spacing w:before="240" w:after="240" w:line="40" w:lineRule="atLeast"/>
        <w:ind w:left="360"/>
        <w:rPr>
          <w:rFonts w:asciiTheme="minorHAnsi" w:hAnsiTheme="minorHAnsi" w:cstheme="minorHAnsi"/>
          <w:color w:val="auto"/>
          <w:sz w:val="22"/>
          <w:szCs w:val="22"/>
        </w:rPr>
      </w:pPr>
    </w:p>
    <w:p w:rsidR="00D64A5C" w:rsidRPr="00956D90" w:rsidRDefault="00D64A5C" w:rsidP="009F0604">
      <w:pPr>
        <w:pStyle w:val="ListParagraph"/>
        <w:numPr>
          <w:ilvl w:val="0"/>
          <w:numId w:val="37"/>
        </w:numPr>
        <w:spacing w:before="240" w:after="240" w:line="40" w:lineRule="atLeast"/>
        <w:jc w:val="both"/>
        <w:rPr>
          <w:rFonts w:asciiTheme="minorHAnsi" w:hAnsiTheme="minorHAnsi" w:cstheme="minorHAnsi"/>
          <w:color w:val="auto"/>
          <w:sz w:val="22"/>
          <w:szCs w:val="22"/>
          <w:lang w:eastAsia="en-AU"/>
        </w:rPr>
      </w:pPr>
      <w:r w:rsidRPr="00956D90">
        <w:rPr>
          <w:rFonts w:asciiTheme="minorHAnsi" w:hAnsiTheme="minorHAnsi" w:cstheme="minorHAnsi"/>
          <w:color w:val="auto"/>
          <w:sz w:val="22"/>
          <w:szCs w:val="22"/>
          <w:lang w:eastAsia="en-AU"/>
        </w:rPr>
        <w:t>That the Government abolish Compulsory Income Management and introduce a genuinely voluntary scheme of income management for people who believe they would benefit from this program.</w:t>
      </w:r>
    </w:p>
    <w:p w:rsidR="00D64A5C" w:rsidRPr="00956D90" w:rsidRDefault="00D64A5C" w:rsidP="009F0604">
      <w:pPr>
        <w:pStyle w:val="ListParagraph"/>
        <w:spacing w:before="240" w:after="240" w:line="40" w:lineRule="atLeast"/>
        <w:ind w:left="360"/>
        <w:jc w:val="both"/>
        <w:rPr>
          <w:rFonts w:asciiTheme="minorHAnsi" w:hAnsiTheme="minorHAnsi" w:cstheme="minorHAnsi"/>
          <w:color w:val="auto"/>
          <w:sz w:val="22"/>
          <w:szCs w:val="22"/>
          <w:lang w:eastAsia="en-AU"/>
        </w:rPr>
      </w:pPr>
    </w:p>
    <w:p w:rsidR="00D64A5C" w:rsidRPr="00956D90" w:rsidRDefault="00D64A5C" w:rsidP="009F0604">
      <w:pPr>
        <w:pStyle w:val="ListParagraph"/>
        <w:numPr>
          <w:ilvl w:val="0"/>
          <w:numId w:val="37"/>
        </w:numPr>
        <w:spacing w:before="240" w:after="240" w:line="40" w:lineRule="atLeast"/>
        <w:rPr>
          <w:rFonts w:asciiTheme="minorHAnsi" w:hAnsiTheme="minorHAnsi" w:cstheme="minorHAnsi"/>
          <w:color w:val="auto"/>
          <w:sz w:val="22"/>
          <w:szCs w:val="22"/>
        </w:rPr>
      </w:pPr>
      <w:r w:rsidRPr="00956D90">
        <w:rPr>
          <w:rFonts w:asciiTheme="minorHAnsi" w:hAnsiTheme="minorHAnsi" w:cstheme="minorHAnsi"/>
          <w:color w:val="auto"/>
          <w:sz w:val="22"/>
          <w:szCs w:val="22"/>
        </w:rPr>
        <w:t>That if the Government intends to cut the welfare budget, then consideration be given to abolishing the Senior’s Supplement from March 2015.</w:t>
      </w:r>
    </w:p>
    <w:p w:rsidR="00D64A5C" w:rsidRPr="00956D90" w:rsidRDefault="00D64A5C" w:rsidP="009F0604">
      <w:pPr>
        <w:pStyle w:val="ListParagraph"/>
        <w:spacing w:before="240" w:after="240" w:line="40" w:lineRule="atLeast"/>
        <w:ind w:left="360"/>
        <w:rPr>
          <w:rFonts w:asciiTheme="minorHAnsi" w:hAnsiTheme="minorHAnsi" w:cstheme="minorHAnsi"/>
          <w:color w:val="auto"/>
          <w:sz w:val="22"/>
          <w:szCs w:val="22"/>
        </w:rPr>
      </w:pPr>
    </w:p>
    <w:p w:rsidR="00275D98" w:rsidRDefault="00D64A5C" w:rsidP="00275D98">
      <w:pPr>
        <w:pStyle w:val="ListParagraph"/>
        <w:numPr>
          <w:ilvl w:val="0"/>
          <w:numId w:val="37"/>
        </w:numPr>
        <w:spacing w:before="240" w:after="240" w:line="40" w:lineRule="atLeast"/>
        <w:rPr>
          <w:rFonts w:asciiTheme="minorHAnsi" w:hAnsiTheme="minorHAnsi" w:cstheme="minorHAnsi"/>
          <w:color w:val="auto"/>
          <w:sz w:val="22"/>
          <w:szCs w:val="22"/>
        </w:rPr>
      </w:pPr>
      <w:r w:rsidRPr="00956D90">
        <w:rPr>
          <w:rFonts w:asciiTheme="minorHAnsi" w:hAnsiTheme="minorHAnsi" w:cstheme="minorHAnsi"/>
          <w:color w:val="auto"/>
          <w:sz w:val="22"/>
          <w:szCs w:val="22"/>
        </w:rPr>
        <w:t>That the Government review the pension assets test as recommended by the Henry Tax Review</w:t>
      </w:r>
    </w:p>
    <w:p w:rsidR="00275D98" w:rsidRPr="00275D98" w:rsidRDefault="00275D98" w:rsidP="00275D98">
      <w:pPr>
        <w:pStyle w:val="ListParagraph"/>
        <w:rPr>
          <w:rFonts w:asciiTheme="minorHAnsi" w:hAnsiTheme="minorHAnsi" w:cstheme="minorHAnsi"/>
          <w:sz w:val="22"/>
          <w:szCs w:val="22"/>
        </w:rPr>
      </w:pPr>
    </w:p>
    <w:p w:rsidR="00D64A5C" w:rsidRPr="00275D98" w:rsidRDefault="00275D98" w:rsidP="00275D98">
      <w:pPr>
        <w:pStyle w:val="ListParagraph"/>
        <w:numPr>
          <w:ilvl w:val="0"/>
          <w:numId w:val="37"/>
        </w:numPr>
        <w:spacing w:before="240" w:after="240" w:line="40" w:lineRule="atLeast"/>
        <w:rPr>
          <w:rFonts w:asciiTheme="minorHAnsi" w:hAnsiTheme="minorHAnsi" w:cstheme="minorHAnsi"/>
          <w:color w:val="auto"/>
          <w:sz w:val="22"/>
          <w:szCs w:val="22"/>
        </w:rPr>
      </w:pPr>
      <w:r w:rsidRPr="00275D98">
        <w:rPr>
          <w:rFonts w:asciiTheme="minorHAnsi" w:hAnsiTheme="minorHAnsi" w:cstheme="minorHAnsi"/>
          <w:sz w:val="22"/>
          <w:szCs w:val="22"/>
        </w:rPr>
        <w:lastRenderedPageBreak/>
        <w:t>That Government give in principle support to rolling Family Tax Benefits Part A and Part B into a single payment (with the income test being the existing income test for Part A) pending a detailed assessment of the effect of this proposal on lower income families.</w:t>
      </w:r>
    </w:p>
    <w:p w:rsidR="00275D98" w:rsidRPr="00956D90" w:rsidRDefault="00275D98" w:rsidP="009F0604">
      <w:pPr>
        <w:pStyle w:val="ListParagraph"/>
        <w:spacing w:before="240" w:after="240" w:line="40" w:lineRule="atLeast"/>
        <w:ind w:left="360"/>
        <w:rPr>
          <w:rFonts w:asciiTheme="minorHAnsi" w:hAnsiTheme="minorHAnsi" w:cstheme="minorHAnsi"/>
          <w:color w:val="auto"/>
          <w:sz w:val="22"/>
          <w:szCs w:val="22"/>
          <w14:textOutline w14:w="5270" w14:cap="flat" w14:cmpd="sng" w14:algn="ctr">
            <w14:solidFill>
              <w14:schemeClr w14:val="accent1">
                <w14:shade w14:val="88000"/>
                <w14:satMod w14:val="110000"/>
              </w14:schemeClr>
            </w14:solidFill>
            <w14:prstDash w14:val="solid"/>
            <w14:round/>
          </w14:textOutline>
        </w:rPr>
      </w:pPr>
    </w:p>
    <w:p w:rsidR="00D64A5C" w:rsidRPr="00956D90" w:rsidRDefault="00174F0F" w:rsidP="009F0604">
      <w:pPr>
        <w:pStyle w:val="ListParagraph"/>
        <w:numPr>
          <w:ilvl w:val="0"/>
          <w:numId w:val="37"/>
        </w:numPr>
        <w:spacing w:before="240" w:after="240" w:line="40" w:lineRule="atLeast"/>
        <w:rPr>
          <w:rFonts w:asciiTheme="minorHAnsi" w:hAnsiTheme="minorHAnsi" w:cstheme="minorHAnsi"/>
          <w:color w:val="auto"/>
          <w:sz w:val="22"/>
          <w:szCs w:val="22"/>
        </w:rPr>
      </w:pPr>
      <w:r>
        <w:rPr>
          <w:rFonts w:asciiTheme="minorHAnsi" w:hAnsiTheme="minorHAnsi" w:cstheme="minorHAnsi"/>
          <w:color w:val="auto"/>
          <w:sz w:val="22"/>
          <w:szCs w:val="22"/>
        </w:rPr>
        <w:t xml:space="preserve">That the Federal Government </w:t>
      </w:r>
      <w:r w:rsidR="00D64A5C" w:rsidRPr="00956D90">
        <w:rPr>
          <w:rFonts w:asciiTheme="minorHAnsi" w:hAnsiTheme="minorHAnsi" w:cstheme="minorHAnsi"/>
          <w:color w:val="auto"/>
          <w:sz w:val="22"/>
          <w:szCs w:val="22"/>
        </w:rPr>
        <w:t>develop a more tightly targeted and less costly government-funded Paid Parental Leave Scheme.  That the Federal Government introduce a national minimum award standard to ensure that industrial arrangements provide for full replacement of wages for parental leave.</w:t>
      </w:r>
    </w:p>
    <w:p w:rsidR="00D64A5C" w:rsidRPr="00956D90" w:rsidRDefault="00D64A5C" w:rsidP="009F0604">
      <w:pPr>
        <w:pStyle w:val="ListParagraph"/>
        <w:spacing w:before="240" w:after="240" w:line="40" w:lineRule="atLeast"/>
        <w:ind w:left="360"/>
        <w:rPr>
          <w:rFonts w:asciiTheme="minorHAnsi" w:hAnsiTheme="minorHAnsi" w:cstheme="minorHAnsi"/>
          <w:color w:val="auto"/>
          <w:sz w:val="22"/>
          <w:szCs w:val="22"/>
        </w:rPr>
      </w:pPr>
    </w:p>
    <w:p w:rsidR="00D64A5C" w:rsidRPr="00956D90" w:rsidRDefault="00D64A5C" w:rsidP="009F0604">
      <w:pPr>
        <w:pStyle w:val="ListParagraph"/>
        <w:numPr>
          <w:ilvl w:val="0"/>
          <w:numId w:val="37"/>
        </w:numPr>
        <w:spacing w:before="240" w:after="240" w:line="40" w:lineRule="atLeast"/>
        <w:rPr>
          <w:rFonts w:asciiTheme="minorHAnsi" w:hAnsiTheme="minorHAnsi" w:cstheme="minorHAnsi"/>
          <w:color w:val="auto"/>
          <w:sz w:val="22"/>
          <w:szCs w:val="22"/>
        </w:rPr>
      </w:pPr>
      <w:r w:rsidRPr="00956D90">
        <w:rPr>
          <w:rFonts w:asciiTheme="minorHAnsi" w:hAnsiTheme="minorHAnsi" w:cstheme="minorHAnsi"/>
          <w:color w:val="auto"/>
          <w:sz w:val="22"/>
          <w:szCs w:val="22"/>
        </w:rPr>
        <w:t>Half a billion will be saved in 2015-16 and $800 million in 2016-17 if the Government were to restoring the $25,00</w:t>
      </w:r>
      <w:r w:rsidR="00275D98">
        <w:rPr>
          <w:rFonts w:asciiTheme="minorHAnsi" w:hAnsiTheme="minorHAnsi" w:cstheme="minorHAnsi"/>
          <w:color w:val="auto"/>
          <w:sz w:val="22"/>
          <w:szCs w:val="22"/>
        </w:rPr>
        <w:t xml:space="preserve">0 annual cap on </w:t>
      </w:r>
      <w:proofErr w:type="spellStart"/>
      <w:r w:rsidR="00275D98">
        <w:rPr>
          <w:rFonts w:asciiTheme="minorHAnsi" w:hAnsiTheme="minorHAnsi" w:cstheme="minorHAnsi"/>
          <w:color w:val="auto"/>
          <w:sz w:val="22"/>
          <w:szCs w:val="22"/>
        </w:rPr>
        <w:t>concessionally</w:t>
      </w:r>
      <w:proofErr w:type="spellEnd"/>
      <w:r w:rsidR="00275D98">
        <w:rPr>
          <w:rFonts w:asciiTheme="minorHAnsi" w:hAnsiTheme="minorHAnsi" w:cstheme="minorHAnsi"/>
          <w:color w:val="auto"/>
          <w:sz w:val="22"/>
          <w:szCs w:val="22"/>
        </w:rPr>
        <w:t>-</w:t>
      </w:r>
      <w:r w:rsidRPr="00956D90">
        <w:rPr>
          <w:rFonts w:asciiTheme="minorHAnsi" w:hAnsiTheme="minorHAnsi" w:cstheme="minorHAnsi"/>
          <w:color w:val="auto"/>
          <w:sz w:val="22"/>
          <w:szCs w:val="22"/>
        </w:rPr>
        <w:t xml:space="preserve">taxed superannuation contributions. </w:t>
      </w:r>
    </w:p>
    <w:p w:rsidR="00D64A5C" w:rsidRPr="00956D90" w:rsidRDefault="00D64A5C" w:rsidP="009F0604">
      <w:pPr>
        <w:pStyle w:val="ListParagraph"/>
        <w:spacing w:before="240" w:after="240" w:line="40" w:lineRule="atLeast"/>
        <w:ind w:left="360"/>
        <w:rPr>
          <w:rFonts w:asciiTheme="minorHAnsi" w:hAnsiTheme="minorHAnsi" w:cstheme="minorHAnsi"/>
          <w:color w:val="auto"/>
          <w:sz w:val="22"/>
          <w:szCs w:val="22"/>
        </w:rPr>
      </w:pPr>
    </w:p>
    <w:p w:rsidR="00D64A5C" w:rsidRPr="00956D90" w:rsidRDefault="00D64A5C" w:rsidP="009F0604">
      <w:pPr>
        <w:pStyle w:val="ListParagraph"/>
        <w:numPr>
          <w:ilvl w:val="0"/>
          <w:numId w:val="37"/>
        </w:numPr>
        <w:spacing w:before="240" w:after="240" w:line="40" w:lineRule="atLeast"/>
        <w:rPr>
          <w:rFonts w:asciiTheme="minorHAnsi" w:hAnsiTheme="minorHAnsi" w:cstheme="minorHAnsi"/>
          <w:color w:val="auto"/>
          <w:sz w:val="22"/>
          <w:szCs w:val="22"/>
        </w:rPr>
      </w:pPr>
      <w:r w:rsidRPr="00956D90">
        <w:rPr>
          <w:rFonts w:asciiTheme="minorHAnsi" w:hAnsiTheme="minorHAnsi" w:cstheme="minorHAnsi"/>
          <w:color w:val="auto"/>
          <w:sz w:val="22"/>
          <w:szCs w:val="22"/>
        </w:rPr>
        <w:t>That, from July 2014, the use of private trusts to avoid personal income tax should be curbed, raising $1</w:t>
      </w:r>
      <w:r w:rsidR="00275D98">
        <w:rPr>
          <w:rFonts w:asciiTheme="minorHAnsi" w:hAnsiTheme="minorHAnsi" w:cstheme="minorHAnsi"/>
          <w:color w:val="auto"/>
          <w:sz w:val="22"/>
          <w:szCs w:val="22"/>
        </w:rPr>
        <w:t>,</w:t>
      </w:r>
      <w:r w:rsidRPr="00956D90">
        <w:rPr>
          <w:rFonts w:asciiTheme="minorHAnsi" w:hAnsiTheme="minorHAnsi" w:cstheme="minorHAnsi"/>
          <w:color w:val="auto"/>
          <w:sz w:val="22"/>
          <w:szCs w:val="22"/>
        </w:rPr>
        <w:t xml:space="preserve">000 million per annum. </w:t>
      </w:r>
    </w:p>
    <w:p w:rsidR="00D64A5C" w:rsidRPr="00956D90" w:rsidRDefault="00D64A5C" w:rsidP="009F0604">
      <w:pPr>
        <w:pStyle w:val="ListParagraph"/>
        <w:spacing w:before="240" w:after="240" w:line="40" w:lineRule="atLeast"/>
        <w:ind w:left="360"/>
        <w:rPr>
          <w:rFonts w:asciiTheme="minorHAnsi" w:hAnsiTheme="minorHAnsi" w:cstheme="minorHAnsi"/>
          <w:color w:val="auto"/>
          <w:sz w:val="22"/>
          <w:szCs w:val="22"/>
        </w:rPr>
      </w:pPr>
    </w:p>
    <w:p w:rsidR="00D64A5C" w:rsidRPr="00956D90" w:rsidRDefault="00D64A5C" w:rsidP="009F0604">
      <w:pPr>
        <w:pStyle w:val="ListParagraph"/>
        <w:numPr>
          <w:ilvl w:val="0"/>
          <w:numId w:val="37"/>
        </w:numPr>
        <w:spacing w:before="240" w:after="240" w:line="40" w:lineRule="atLeast"/>
        <w:jc w:val="both"/>
        <w:rPr>
          <w:rFonts w:asciiTheme="minorHAnsi" w:hAnsiTheme="minorHAnsi" w:cstheme="minorHAnsi"/>
          <w:color w:val="auto"/>
          <w:sz w:val="22"/>
          <w:szCs w:val="22"/>
        </w:rPr>
      </w:pPr>
      <w:r w:rsidRPr="00956D90">
        <w:rPr>
          <w:rFonts w:asciiTheme="minorHAnsi" w:hAnsiTheme="minorHAnsi" w:cstheme="minorHAnsi"/>
          <w:color w:val="auto"/>
          <w:sz w:val="22"/>
          <w:szCs w:val="22"/>
        </w:rPr>
        <w:t xml:space="preserve">Tax expenditures should be reviewed each year by the Treasury and Expenditure Review Committee. Tax expenditures that are poorly targeted should be reduced or abolished. </w:t>
      </w:r>
    </w:p>
    <w:p w:rsidR="00D64A5C" w:rsidRPr="00956D90" w:rsidRDefault="00D64A5C" w:rsidP="009F0604">
      <w:pPr>
        <w:pStyle w:val="ListParagraph"/>
        <w:spacing w:before="240" w:after="240" w:line="40" w:lineRule="atLeast"/>
        <w:ind w:left="360"/>
        <w:jc w:val="both"/>
        <w:rPr>
          <w:rFonts w:asciiTheme="minorHAnsi" w:hAnsiTheme="minorHAnsi" w:cstheme="minorHAnsi"/>
          <w:color w:val="auto"/>
          <w:sz w:val="22"/>
          <w:szCs w:val="22"/>
        </w:rPr>
      </w:pPr>
    </w:p>
    <w:p w:rsidR="00D64A5C" w:rsidRPr="00956D90" w:rsidRDefault="00D64A5C" w:rsidP="009F0604">
      <w:pPr>
        <w:pStyle w:val="ListParagraph"/>
        <w:numPr>
          <w:ilvl w:val="0"/>
          <w:numId w:val="37"/>
        </w:numPr>
        <w:spacing w:before="240" w:after="240" w:line="40" w:lineRule="atLeast"/>
        <w:rPr>
          <w:rFonts w:asciiTheme="minorHAnsi" w:hAnsiTheme="minorHAnsi" w:cstheme="minorHAnsi"/>
          <w:color w:val="auto"/>
          <w:sz w:val="22"/>
          <w:szCs w:val="22"/>
        </w:rPr>
      </w:pPr>
      <w:r w:rsidRPr="00956D90">
        <w:rPr>
          <w:rFonts w:asciiTheme="minorHAnsi" w:hAnsiTheme="minorHAnsi" w:cstheme="minorHAnsi"/>
          <w:color w:val="auto"/>
          <w:sz w:val="22"/>
          <w:szCs w:val="22"/>
        </w:rPr>
        <w:t>That the Federal Government review negative gearing with the aim of abolishing or restricting it. Revenue:  If the concession is abolished, $4 billion per year initially, falling to around $2 billion per year.</w:t>
      </w:r>
    </w:p>
    <w:p w:rsidR="00D64A5C" w:rsidRPr="00956D90" w:rsidRDefault="00D64A5C" w:rsidP="009F0604">
      <w:pPr>
        <w:pStyle w:val="ListParagraph"/>
        <w:spacing w:before="240" w:after="240" w:line="40" w:lineRule="atLeast"/>
        <w:ind w:left="360"/>
        <w:rPr>
          <w:rFonts w:asciiTheme="minorHAnsi" w:hAnsiTheme="minorHAnsi" w:cstheme="minorHAnsi"/>
          <w:color w:val="auto"/>
          <w:sz w:val="22"/>
          <w:szCs w:val="22"/>
        </w:rPr>
      </w:pPr>
    </w:p>
    <w:p w:rsidR="00D64A5C" w:rsidRPr="00956D90" w:rsidRDefault="00D64A5C" w:rsidP="009F0604">
      <w:pPr>
        <w:pStyle w:val="ListParagraph"/>
        <w:numPr>
          <w:ilvl w:val="0"/>
          <w:numId w:val="37"/>
        </w:numPr>
        <w:spacing w:before="240" w:after="240" w:line="40" w:lineRule="atLeast"/>
        <w:rPr>
          <w:rFonts w:asciiTheme="minorHAnsi" w:hAnsiTheme="minorHAnsi" w:cstheme="minorHAnsi"/>
          <w:color w:val="auto"/>
          <w:sz w:val="22"/>
          <w:szCs w:val="22"/>
        </w:rPr>
      </w:pPr>
      <w:r w:rsidRPr="00956D90">
        <w:rPr>
          <w:rFonts w:asciiTheme="minorHAnsi" w:hAnsiTheme="minorHAnsi" w:cstheme="minorHAnsi"/>
          <w:color w:val="auto"/>
          <w:sz w:val="22"/>
          <w:szCs w:val="22"/>
        </w:rPr>
        <w:t>That the Federal Government review current tax concessions for superannuation savings, to make them fairer and more sustainable. The Review should consider measures to better assist women and carers in retirement.</w:t>
      </w:r>
    </w:p>
    <w:p w:rsidR="00366EDD" w:rsidRPr="00956D90" w:rsidRDefault="00366EDD">
      <w:pPr>
        <w:rPr>
          <w:rFonts w:asciiTheme="minorHAnsi" w:hAnsiTheme="minorHAnsi" w:cstheme="minorHAnsi"/>
          <w:sz w:val="22"/>
          <w:szCs w:val="22"/>
          <w:lang w:eastAsia="en-AU"/>
        </w:rPr>
      </w:pPr>
      <w:r w:rsidRPr="00956D90">
        <w:rPr>
          <w:rFonts w:asciiTheme="minorHAnsi" w:hAnsiTheme="minorHAnsi" w:cstheme="minorHAnsi"/>
          <w:sz w:val="22"/>
          <w:szCs w:val="22"/>
          <w:lang w:eastAsia="en-AU"/>
        </w:rPr>
        <w:br w:type="page"/>
      </w:r>
    </w:p>
    <w:p w:rsidR="00D45B96" w:rsidRDefault="00D45B96" w:rsidP="00D35273">
      <w:pPr>
        <w:jc w:val="both"/>
        <w:rPr>
          <w:rFonts w:asciiTheme="minorHAnsi" w:hAnsiTheme="minorHAnsi" w:cstheme="minorHAnsi"/>
          <w:sz w:val="22"/>
          <w:lang w:eastAsia="en-AU"/>
        </w:rPr>
      </w:pPr>
    </w:p>
    <w:p w:rsidR="00DD1512" w:rsidRPr="00BB5D86" w:rsidRDefault="00DD1512" w:rsidP="00012394">
      <w:pPr>
        <w:pStyle w:val="Heading1"/>
      </w:pPr>
      <w:bookmarkStart w:id="3" w:name="_Toc379199679"/>
      <w:r w:rsidRPr="00BB5D86">
        <w:t xml:space="preserve">NWRN 2014-15 Federal Budget </w:t>
      </w:r>
      <w:r w:rsidRPr="00012394">
        <w:t>Priorities</w:t>
      </w:r>
      <w:bookmarkEnd w:id="3"/>
      <w:r w:rsidRPr="00BB5D86">
        <w:t xml:space="preserve"> </w:t>
      </w:r>
    </w:p>
    <w:p w:rsidR="00B932FF" w:rsidRDefault="00B932FF" w:rsidP="00473914">
      <w:pPr>
        <w:jc w:val="both"/>
        <w:rPr>
          <w:rFonts w:asciiTheme="minorHAnsi" w:hAnsiTheme="minorHAnsi" w:cstheme="minorHAnsi"/>
          <w:color w:val="4A442A" w:themeColor="background2" w:themeShade="40"/>
          <w:sz w:val="22"/>
          <w:lang w:val="en-US" w:eastAsia="en-AU"/>
        </w:rPr>
      </w:pPr>
    </w:p>
    <w:p w:rsidR="00012394" w:rsidRDefault="008D6F44" w:rsidP="00012394">
      <w:pPr>
        <w:pStyle w:val="Heading2"/>
        <w:rPr>
          <w:lang w:val="en-US" w:eastAsia="en-AU"/>
        </w:rPr>
      </w:pPr>
      <w:bookmarkStart w:id="4" w:name="_Toc379199680"/>
      <w:r>
        <w:rPr>
          <w:lang w:val="en-US" w:eastAsia="en-AU"/>
        </w:rPr>
        <w:t>PART 1</w:t>
      </w:r>
      <w:r>
        <w:rPr>
          <w:lang w:val="en-US" w:eastAsia="en-AU"/>
        </w:rPr>
        <w:tab/>
      </w:r>
      <w:r w:rsidR="005D278C" w:rsidRPr="00FE420F">
        <w:rPr>
          <w:sz w:val="28"/>
          <w:szCs w:val="28"/>
          <w:lang w:val="en-US" w:eastAsia="en-AU"/>
        </w:rPr>
        <w:t>Expenditure on Income Support</w:t>
      </w:r>
      <w:bookmarkEnd w:id="4"/>
    </w:p>
    <w:p w:rsidR="00012394" w:rsidRPr="00BB5D86" w:rsidRDefault="00012394" w:rsidP="00473914">
      <w:pPr>
        <w:jc w:val="both"/>
        <w:rPr>
          <w:rFonts w:asciiTheme="minorHAnsi" w:hAnsiTheme="minorHAnsi" w:cstheme="minorHAnsi"/>
          <w:color w:val="4A442A" w:themeColor="background2" w:themeShade="40"/>
          <w:sz w:val="22"/>
          <w:lang w:val="en-US" w:eastAsia="en-AU"/>
        </w:rPr>
      </w:pPr>
    </w:p>
    <w:p w:rsidR="00A27C2C" w:rsidRPr="00BB5D86" w:rsidRDefault="00ED019E" w:rsidP="00A27C2C">
      <w:pPr>
        <w:jc w:val="both"/>
        <w:rPr>
          <w:rFonts w:asciiTheme="minorHAnsi" w:hAnsiTheme="minorHAnsi" w:cstheme="minorHAnsi"/>
          <w:sz w:val="22"/>
        </w:rPr>
      </w:pPr>
      <w:r w:rsidRPr="00BB5D86">
        <w:rPr>
          <w:rFonts w:asciiTheme="minorHAnsi" w:hAnsiTheme="minorHAnsi" w:cstheme="minorHAnsi"/>
          <w:color w:val="4A442A" w:themeColor="background2" w:themeShade="40"/>
          <w:sz w:val="22"/>
          <w:lang w:val="en-US" w:eastAsia="en-AU"/>
        </w:rPr>
        <w:t>Australia has a</w:t>
      </w:r>
      <w:r w:rsidR="00810A7A" w:rsidRPr="00BB5D86">
        <w:rPr>
          <w:rFonts w:asciiTheme="minorHAnsi" w:hAnsiTheme="minorHAnsi" w:cstheme="minorHAnsi"/>
          <w:color w:val="4A442A" w:themeColor="background2" w:themeShade="40"/>
          <w:sz w:val="22"/>
          <w:lang w:val="en-US" w:eastAsia="en-AU"/>
        </w:rPr>
        <w:t xml:space="preserve"> </w:t>
      </w:r>
      <w:r w:rsidRPr="00BB5D86">
        <w:rPr>
          <w:rFonts w:asciiTheme="minorHAnsi" w:hAnsiTheme="minorHAnsi" w:cstheme="minorHAnsi"/>
          <w:color w:val="4A442A" w:themeColor="background2" w:themeShade="40"/>
          <w:sz w:val="22"/>
          <w:lang w:val="en-US" w:eastAsia="en-AU"/>
        </w:rPr>
        <w:t>targeted</w:t>
      </w:r>
      <w:r w:rsidR="003A1FB1" w:rsidRPr="00BB5D86">
        <w:rPr>
          <w:rFonts w:asciiTheme="minorHAnsi" w:hAnsiTheme="minorHAnsi" w:cstheme="minorHAnsi"/>
          <w:color w:val="4A442A" w:themeColor="background2" w:themeShade="40"/>
          <w:sz w:val="22"/>
          <w:lang w:val="en-US" w:eastAsia="en-AU"/>
        </w:rPr>
        <w:t>,</w:t>
      </w:r>
      <w:r w:rsidRPr="00BB5D86">
        <w:rPr>
          <w:rFonts w:asciiTheme="minorHAnsi" w:hAnsiTheme="minorHAnsi" w:cstheme="minorHAnsi"/>
          <w:color w:val="4A442A" w:themeColor="background2" w:themeShade="40"/>
          <w:sz w:val="22"/>
          <w:lang w:val="en-US" w:eastAsia="en-AU"/>
        </w:rPr>
        <w:t xml:space="preserve"> means-tested social security system. </w:t>
      </w:r>
      <w:r w:rsidR="00A27C2C" w:rsidRPr="00BB5D86">
        <w:rPr>
          <w:rFonts w:asciiTheme="minorHAnsi" w:hAnsiTheme="minorHAnsi" w:cstheme="minorHAnsi"/>
          <w:sz w:val="22"/>
        </w:rPr>
        <w:t>The OECD attests to the effectiveness of Australia’s means-tested approach to sustainable welfare arrangements, with 42% of transfer spending going to the poorest 20% of the population, and only 3% to the richest 20%.</w:t>
      </w:r>
      <w:r w:rsidR="00A27C2C" w:rsidRPr="00BB5D86">
        <w:rPr>
          <w:rStyle w:val="FootnoteReference"/>
          <w:rFonts w:asciiTheme="minorHAnsi" w:hAnsiTheme="minorHAnsi" w:cstheme="minorHAnsi"/>
          <w:sz w:val="22"/>
        </w:rPr>
        <w:footnoteReference w:id="3"/>
      </w:r>
      <w:r w:rsidR="00A27C2C" w:rsidRPr="00BB5D86">
        <w:rPr>
          <w:rFonts w:asciiTheme="minorHAnsi" w:hAnsiTheme="minorHAnsi" w:cstheme="minorHAnsi"/>
          <w:sz w:val="22"/>
        </w:rPr>
        <w:t xml:space="preserve"> The OECD found in its analysis of the redistributive effects of OECD nations welfare systems that Australia was the second most effective in achieving this task.</w:t>
      </w:r>
      <w:r w:rsidR="00A27C2C" w:rsidRPr="00BB5D86">
        <w:rPr>
          <w:rStyle w:val="FootnoteReference"/>
          <w:rFonts w:asciiTheme="minorHAnsi" w:hAnsiTheme="minorHAnsi" w:cstheme="minorHAnsi"/>
          <w:sz w:val="22"/>
        </w:rPr>
        <w:footnoteReference w:id="4"/>
      </w:r>
      <w:r w:rsidR="00E40A44">
        <w:rPr>
          <w:rFonts w:asciiTheme="minorHAnsi" w:hAnsiTheme="minorHAnsi" w:cstheme="minorHAnsi"/>
          <w:sz w:val="22"/>
        </w:rPr>
        <w:t xml:space="preserve"> </w:t>
      </w:r>
      <w:r w:rsidR="00FD2125">
        <w:rPr>
          <w:rFonts w:asciiTheme="minorHAnsi" w:hAnsiTheme="minorHAnsi" w:cstheme="minorHAnsi"/>
          <w:sz w:val="22"/>
        </w:rPr>
        <w:t xml:space="preserve">Australia is ranked as the third lowest </w:t>
      </w:r>
      <w:r w:rsidR="00FE420F">
        <w:rPr>
          <w:rFonts w:asciiTheme="minorHAnsi" w:hAnsiTheme="minorHAnsi" w:cstheme="minorHAnsi"/>
          <w:sz w:val="22"/>
        </w:rPr>
        <w:t>spending country</w:t>
      </w:r>
      <w:r w:rsidR="00FD2125">
        <w:rPr>
          <w:rFonts w:asciiTheme="minorHAnsi" w:hAnsiTheme="minorHAnsi" w:cstheme="minorHAnsi"/>
          <w:sz w:val="22"/>
        </w:rPr>
        <w:t xml:space="preserve"> when it comes to welfare </w:t>
      </w:r>
      <w:r w:rsidR="00FE420F">
        <w:rPr>
          <w:rFonts w:asciiTheme="minorHAnsi" w:hAnsiTheme="minorHAnsi" w:cstheme="minorHAnsi"/>
          <w:sz w:val="22"/>
        </w:rPr>
        <w:t>expenditure</w:t>
      </w:r>
      <w:r w:rsidR="00E40A44">
        <w:rPr>
          <w:rFonts w:asciiTheme="minorHAnsi" w:hAnsiTheme="minorHAnsi" w:cstheme="minorHAnsi"/>
          <w:sz w:val="22"/>
        </w:rPr>
        <w:t xml:space="preserve">, </w:t>
      </w:r>
      <w:r w:rsidR="00FD2125">
        <w:rPr>
          <w:rFonts w:asciiTheme="minorHAnsi" w:hAnsiTheme="minorHAnsi" w:cstheme="minorHAnsi"/>
          <w:sz w:val="22"/>
        </w:rPr>
        <w:t>at</w:t>
      </w:r>
      <w:r w:rsidR="00E40A44">
        <w:rPr>
          <w:rFonts w:asciiTheme="minorHAnsi" w:hAnsiTheme="minorHAnsi" w:cstheme="minorHAnsi"/>
          <w:sz w:val="22"/>
        </w:rPr>
        <w:t xml:space="preserve"> just 8.3% of economic output on income support, far less than almost every other advanced countr</w:t>
      </w:r>
      <w:r w:rsidR="005E334A">
        <w:rPr>
          <w:rFonts w:asciiTheme="minorHAnsi" w:hAnsiTheme="minorHAnsi" w:cstheme="minorHAnsi"/>
          <w:sz w:val="22"/>
        </w:rPr>
        <w:t>ies, where the average spend was 13.2% in 2013</w:t>
      </w:r>
      <w:r w:rsidR="00E40A44">
        <w:rPr>
          <w:rFonts w:asciiTheme="minorHAnsi" w:hAnsiTheme="minorHAnsi" w:cstheme="minorHAnsi"/>
          <w:sz w:val="22"/>
        </w:rPr>
        <w:t xml:space="preserve">. </w:t>
      </w:r>
    </w:p>
    <w:p w:rsidR="00A27C2C" w:rsidRPr="00BB5D86" w:rsidRDefault="00A27C2C" w:rsidP="00473914">
      <w:pPr>
        <w:jc w:val="both"/>
        <w:rPr>
          <w:rFonts w:asciiTheme="minorHAnsi" w:hAnsiTheme="minorHAnsi" w:cstheme="minorHAnsi"/>
          <w:color w:val="4A442A" w:themeColor="background2" w:themeShade="40"/>
          <w:sz w:val="22"/>
          <w:lang w:val="en-US" w:eastAsia="en-AU"/>
        </w:rPr>
      </w:pPr>
    </w:p>
    <w:p w:rsidR="006B1AD9" w:rsidRPr="00FE420F" w:rsidRDefault="00730EB9" w:rsidP="00012394">
      <w:pPr>
        <w:pStyle w:val="Heading3"/>
        <w:rPr>
          <w:sz w:val="24"/>
          <w:szCs w:val="24"/>
        </w:rPr>
      </w:pPr>
      <w:bookmarkStart w:id="5" w:name="_Toc379199681"/>
      <w:r w:rsidRPr="00FE420F">
        <w:rPr>
          <w:sz w:val="24"/>
          <w:szCs w:val="24"/>
        </w:rPr>
        <w:t>Increase Newstart Allowance</w:t>
      </w:r>
      <w:bookmarkEnd w:id="5"/>
    </w:p>
    <w:p w:rsidR="009B0456" w:rsidRPr="00622535" w:rsidRDefault="008748F2" w:rsidP="009B0456">
      <w:pPr>
        <w:autoSpaceDE w:val="0"/>
        <w:autoSpaceDN w:val="0"/>
        <w:rPr>
          <w:rFonts w:asciiTheme="minorHAnsi" w:hAnsiTheme="minorHAnsi" w:cstheme="minorHAnsi"/>
          <w:sz w:val="22"/>
          <w:szCs w:val="22"/>
        </w:rPr>
      </w:pPr>
      <w:r w:rsidRPr="00BB5D86">
        <w:rPr>
          <w:rFonts w:asciiTheme="minorHAnsi" w:hAnsiTheme="minorHAnsi" w:cstheme="minorHAnsi"/>
          <w:sz w:val="22"/>
        </w:rPr>
        <w:br/>
      </w:r>
      <w:r w:rsidR="00B8727E">
        <w:rPr>
          <w:rFonts w:asciiTheme="minorHAnsi" w:hAnsiTheme="minorHAnsi" w:cstheme="minorHAnsi"/>
          <w:sz w:val="22"/>
          <w:szCs w:val="22"/>
        </w:rPr>
        <w:t>As of</w:t>
      </w:r>
      <w:r w:rsidR="00B8727E" w:rsidRPr="003F27DA">
        <w:rPr>
          <w:rFonts w:asciiTheme="minorHAnsi" w:hAnsiTheme="minorHAnsi" w:cstheme="minorHAnsi"/>
          <w:sz w:val="22"/>
          <w:szCs w:val="22"/>
        </w:rPr>
        <w:t xml:space="preserve"> December 2013</w:t>
      </w:r>
      <w:r w:rsidR="00B8727E">
        <w:rPr>
          <w:rFonts w:asciiTheme="minorHAnsi" w:hAnsiTheme="minorHAnsi" w:cstheme="minorHAnsi"/>
          <w:sz w:val="22"/>
          <w:szCs w:val="22"/>
        </w:rPr>
        <w:t xml:space="preserve">, the numbers of people receiving Newstart and Youth Allowance was </w:t>
      </w:r>
      <w:r w:rsidR="00B8727E" w:rsidRPr="003F27DA">
        <w:rPr>
          <w:rFonts w:asciiTheme="minorHAnsi" w:hAnsiTheme="minorHAnsi" w:cstheme="minorHAnsi"/>
          <w:sz w:val="22"/>
          <w:szCs w:val="22"/>
        </w:rPr>
        <w:t xml:space="preserve">827,039. </w:t>
      </w:r>
      <w:r w:rsidR="00B8727E">
        <w:rPr>
          <w:rFonts w:asciiTheme="minorHAnsi" w:hAnsiTheme="minorHAnsi" w:cstheme="minorHAnsi"/>
          <w:sz w:val="22"/>
          <w:szCs w:val="22"/>
        </w:rPr>
        <w:t>This was an increase of 18% over the previous 12 months, from just 700,133</w:t>
      </w:r>
      <w:r w:rsidR="00B8727E" w:rsidRPr="003F27DA">
        <w:rPr>
          <w:rFonts w:asciiTheme="minorHAnsi" w:hAnsiTheme="minorHAnsi" w:cstheme="minorHAnsi"/>
          <w:sz w:val="22"/>
          <w:szCs w:val="22"/>
        </w:rPr>
        <w:t>.</w:t>
      </w:r>
      <w:r w:rsidR="00B8727E">
        <w:rPr>
          <w:rFonts w:asciiTheme="minorHAnsi" w:hAnsiTheme="minorHAnsi" w:cstheme="minorHAnsi"/>
          <w:sz w:val="22"/>
          <w:szCs w:val="22"/>
        </w:rPr>
        <w:t xml:space="preserve"> </w:t>
      </w:r>
      <w:r w:rsidR="009B0456" w:rsidRPr="00622535">
        <w:rPr>
          <w:rFonts w:asciiTheme="minorHAnsi" w:hAnsiTheme="minorHAnsi" w:cstheme="minorHAnsi"/>
          <w:bCs/>
          <w:sz w:val="22"/>
          <w:szCs w:val="22"/>
        </w:rPr>
        <w:t xml:space="preserve">Between December 2012 and December 2013, </w:t>
      </w:r>
      <w:r w:rsidR="009B0456" w:rsidRPr="00622535">
        <w:rPr>
          <w:rFonts w:asciiTheme="minorHAnsi" w:hAnsiTheme="minorHAnsi" w:cstheme="minorHAnsi"/>
          <w:sz w:val="22"/>
          <w:szCs w:val="22"/>
        </w:rPr>
        <w:t>Newstart Allowance recipients increased 19.5 pe</w:t>
      </w:r>
      <w:r w:rsidR="009B0456">
        <w:rPr>
          <w:rFonts w:asciiTheme="minorHAnsi" w:hAnsiTheme="minorHAnsi" w:cstheme="minorHAnsi"/>
          <w:sz w:val="22"/>
          <w:szCs w:val="22"/>
        </w:rPr>
        <w:t>r cent from 595,248 to 711,</w:t>
      </w:r>
      <w:r w:rsidR="009B0456" w:rsidRPr="00622535">
        <w:rPr>
          <w:rFonts w:asciiTheme="minorHAnsi" w:hAnsiTheme="minorHAnsi" w:cstheme="minorHAnsi"/>
          <w:sz w:val="22"/>
          <w:szCs w:val="22"/>
        </w:rPr>
        <w:t>438 and Youth Allowance (Other) recipients increased 10.2 per cent from 104,885 to 115,601.</w:t>
      </w:r>
      <w:r w:rsidR="009B0456">
        <w:rPr>
          <w:rStyle w:val="FootnoteReference"/>
          <w:rFonts w:asciiTheme="minorHAnsi" w:hAnsiTheme="minorHAnsi" w:cstheme="minorHAnsi"/>
          <w:sz w:val="22"/>
          <w:szCs w:val="22"/>
        </w:rPr>
        <w:footnoteReference w:id="5"/>
      </w:r>
      <w:r w:rsidR="009B0456" w:rsidRPr="00622535">
        <w:rPr>
          <w:rFonts w:asciiTheme="minorHAnsi" w:hAnsiTheme="minorHAnsi" w:cstheme="minorHAnsi"/>
          <w:sz w:val="22"/>
          <w:szCs w:val="22"/>
        </w:rPr>
        <w:t xml:space="preserve"> </w:t>
      </w:r>
    </w:p>
    <w:p w:rsidR="00C3374D" w:rsidRDefault="00C3374D" w:rsidP="00B8727E">
      <w:pPr>
        <w:rPr>
          <w:rFonts w:asciiTheme="minorHAnsi" w:hAnsiTheme="minorHAnsi" w:cstheme="minorHAnsi"/>
          <w:sz w:val="22"/>
          <w:szCs w:val="22"/>
        </w:rPr>
      </w:pPr>
    </w:p>
    <w:p w:rsidR="00B8727E" w:rsidRDefault="00B8727E" w:rsidP="00B8727E">
      <w:pPr>
        <w:rPr>
          <w:rFonts w:asciiTheme="minorHAnsi" w:hAnsiTheme="minorHAnsi" w:cstheme="minorHAnsi"/>
          <w:sz w:val="22"/>
          <w:szCs w:val="22"/>
        </w:rPr>
      </w:pPr>
      <w:r>
        <w:rPr>
          <w:rFonts w:asciiTheme="minorHAnsi" w:hAnsiTheme="minorHAnsi" w:cstheme="minorHAnsi"/>
          <w:sz w:val="22"/>
          <w:szCs w:val="22"/>
        </w:rPr>
        <w:t xml:space="preserve">Two thirds </w:t>
      </w:r>
      <w:r w:rsidR="005D278C">
        <w:rPr>
          <w:rFonts w:asciiTheme="minorHAnsi" w:hAnsiTheme="minorHAnsi" w:cstheme="minorHAnsi"/>
          <w:sz w:val="22"/>
          <w:szCs w:val="22"/>
        </w:rPr>
        <w:t xml:space="preserve">of </w:t>
      </w:r>
      <w:r>
        <w:rPr>
          <w:rFonts w:asciiTheme="minorHAnsi" w:hAnsiTheme="minorHAnsi" w:cstheme="minorHAnsi"/>
          <w:sz w:val="22"/>
          <w:szCs w:val="22"/>
        </w:rPr>
        <w:t>Newstart Allowance</w:t>
      </w:r>
      <w:r w:rsidR="005D278C">
        <w:rPr>
          <w:rFonts w:asciiTheme="minorHAnsi" w:hAnsiTheme="minorHAnsi" w:cstheme="minorHAnsi"/>
          <w:sz w:val="22"/>
          <w:szCs w:val="22"/>
        </w:rPr>
        <w:t xml:space="preserve"> recipients</w:t>
      </w:r>
      <w:r>
        <w:rPr>
          <w:rFonts w:asciiTheme="minorHAnsi" w:hAnsiTheme="minorHAnsi" w:cstheme="minorHAnsi"/>
          <w:sz w:val="22"/>
          <w:szCs w:val="22"/>
        </w:rPr>
        <w:t xml:space="preserve"> ha</w:t>
      </w:r>
      <w:r w:rsidR="005D278C">
        <w:rPr>
          <w:rFonts w:asciiTheme="minorHAnsi" w:hAnsiTheme="minorHAnsi" w:cstheme="minorHAnsi"/>
          <w:sz w:val="22"/>
          <w:szCs w:val="22"/>
        </w:rPr>
        <w:t>ve</w:t>
      </w:r>
      <w:r>
        <w:rPr>
          <w:rFonts w:asciiTheme="minorHAnsi" w:hAnsiTheme="minorHAnsi" w:cstheme="minorHAnsi"/>
          <w:sz w:val="22"/>
          <w:szCs w:val="22"/>
        </w:rPr>
        <w:t xml:space="preserve"> been on income support for more than 12 months.</w:t>
      </w:r>
    </w:p>
    <w:p w:rsidR="00B8727E" w:rsidRPr="003F27DA" w:rsidRDefault="00B8727E" w:rsidP="00B8727E">
      <w:pPr>
        <w:rPr>
          <w:rFonts w:asciiTheme="minorHAnsi" w:hAnsiTheme="minorHAnsi" w:cstheme="minorHAnsi"/>
          <w:sz w:val="22"/>
          <w:szCs w:val="22"/>
        </w:rPr>
      </w:pPr>
    </w:p>
    <w:p w:rsidR="007B09D4" w:rsidRPr="00BB5D86" w:rsidRDefault="00242A58" w:rsidP="00725EFA">
      <w:pPr>
        <w:shd w:val="clear" w:color="auto" w:fill="FFFFFF"/>
        <w:rPr>
          <w:rFonts w:asciiTheme="minorHAnsi" w:hAnsiTheme="minorHAnsi" w:cstheme="minorHAnsi"/>
          <w:sz w:val="22"/>
        </w:rPr>
      </w:pPr>
      <w:r w:rsidRPr="00BB5D86">
        <w:rPr>
          <w:rFonts w:asciiTheme="minorHAnsi" w:hAnsiTheme="minorHAnsi" w:cstheme="minorHAnsi"/>
          <w:sz w:val="22"/>
          <w:lang w:eastAsia="en-AU"/>
        </w:rPr>
        <w:t xml:space="preserve">In </w:t>
      </w:r>
      <w:r w:rsidR="007B09D4" w:rsidRPr="00BB5D86">
        <w:rPr>
          <w:rFonts w:asciiTheme="minorHAnsi" w:hAnsiTheme="minorHAnsi" w:cstheme="minorHAnsi"/>
          <w:sz w:val="22"/>
          <w:lang w:eastAsia="en-AU"/>
        </w:rPr>
        <w:t>November</w:t>
      </w:r>
      <w:r w:rsidRPr="00BB5D86">
        <w:rPr>
          <w:rFonts w:asciiTheme="minorHAnsi" w:hAnsiTheme="minorHAnsi" w:cstheme="minorHAnsi"/>
          <w:sz w:val="22"/>
          <w:lang w:eastAsia="en-AU"/>
        </w:rPr>
        <w:t xml:space="preserve"> 2012 </w:t>
      </w:r>
      <w:r w:rsidR="007B09D4" w:rsidRPr="00BB5D86">
        <w:rPr>
          <w:rFonts w:asciiTheme="minorHAnsi" w:hAnsiTheme="minorHAnsi" w:cstheme="minorHAnsi"/>
          <w:sz w:val="22"/>
          <w:lang w:eastAsia="en-AU"/>
        </w:rPr>
        <w:t xml:space="preserve">a </w:t>
      </w:r>
      <w:r w:rsidRPr="00BB5D86">
        <w:rPr>
          <w:rFonts w:asciiTheme="minorHAnsi" w:hAnsiTheme="minorHAnsi" w:cstheme="minorHAnsi"/>
          <w:sz w:val="22"/>
          <w:lang w:eastAsia="en-AU"/>
        </w:rPr>
        <w:t xml:space="preserve">Senate Committee looked into the adequacy of the Newstart Allowance (NSA). It reported that </w:t>
      </w:r>
      <w:r w:rsidR="00725EFA" w:rsidRPr="00BB5D86">
        <w:rPr>
          <w:rFonts w:asciiTheme="minorHAnsi" w:hAnsiTheme="minorHAnsi" w:cstheme="minorHAnsi"/>
          <w:sz w:val="22"/>
          <w:lang w:eastAsia="en-AU"/>
        </w:rPr>
        <w:t>at around</w:t>
      </w:r>
      <w:r w:rsidR="00CD6953" w:rsidRPr="00BB5D86">
        <w:rPr>
          <w:rFonts w:asciiTheme="minorHAnsi" w:hAnsiTheme="minorHAnsi" w:cstheme="minorHAnsi"/>
          <w:sz w:val="22"/>
          <w:lang w:eastAsia="en-AU"/>
        </w:rPr>
        <w:t xml:space="preserve"> </w:t>
      </w:r>
      <w:r w:rsidRPr="00BB5D86">
        <w:rPr>
          <w:rFonts w:asciiTheme="minorHAnsi" w:hAnsiTheme="minorHAnsi" w:cstheme="minorHAnsi"/>
          <w:sz w:val="22"/>
          <w:lang w:eastAsia="en-AU"/>
        </w:rPr>
        <w:t>$</w:t>
      </w:r>
      <w:r w:rsidR="00D82C5E" w:rsidRPr="00BB5D86">
        <w:rPr>
          <w:rFonts w:asciiTheme="minorHAnsi" w:hAnsiTheme="minorHAnsi" w:cstheme="minorHAnsi"/>
          <w:sz w:val="22"/>
          <w:lang w:eastAsia="en-AU"/>
        </w:rPr>
        <w:t>250</w:t>
      </w:r>
      <w:r w:rsidRPr="00BB5D86">
        <w:rPr>
          <w:rFonts w:asciiTheme="minorHAnsi" w:hAnsiTheme="minorHAnsi" w:cstheme="minorHAnsi"/>
          <w:sz w:val="22"/>
          <w:lang w:eastAsia="en-AU"/>
        </w:rPr>
        <w:t xml:space="preserve"> per week</w:t>
      </w:r>
      <w:r w:rsidR="005D278C">
        <w:rPr>
          <w:rFonts w:asciiTheme="minorHAnsi" w:hAnsiTheme="minorHAnsi" w:cstheme="minorHAnsi"/>
          <w:sz w:val="22"/>
          <w:lang w:eastAsia="en-AU"/>
        </w:rPr>
        <w:t xml:space="preserve"> for a single person</w:t>
      </w:r>
      <w:r w:rsidRPr="00BB5D86">
        <w:rPr>
          <w:rFonts w:asciiTheme="minorHAnsi" w:hAnsiTheme="minorHAnsi" w:cstheme="minorHAnsi"/>
          <w:sz w:val="22"/>
          <w:lang w:eastAsia="en-AU"/>
        </w:rPr>
        <w:t xml:space="preserve">, NSA was inadequate to live on. The Senate Committee </w:t>
      </w:r>
      <w:r w:rsidR="00ED0A69" w:rsidRPr="00BB5D86">
        <w:rPr>
          <w:rFonts w:asciiTheme="minorHAnsi" w:hAnsiTheme="minorHAnsi" w:cstheme="minorHAnsi"/>
          <w:sz w:val="22"/>
          <w:lang w:eastAsia="en-AU"/>
        </w:rPr>
        <w:t xml:space="preserve">received compelling arguments and evidence on the benefits that would flow from increasing </w:t>
      </w:r>
      <w:r w:rsidR="007B09D4" w:rsidRPr="00BB5D86">
        <w:rPr>
          <w:rFonts w:asciiTheme="minorHAnsi" w:hAnsiTheme="minorHAnsi" w:cstheme="minorHAnsi"/>
          <w:sz w:val="22"/>
          <w:lang w:eastAsia="en-AU"/>
        </w:rPr>
        <w:t>this payment. One in six of all NSA recipients are principal carers</w:t>
      </w:r>
      <w:r w:rsidR="00D82C5E" w:rsidRPr="00BB5D86">
        <w:rPr>
          <w:rFonts w:asciiTheme="minorHAnsi" w:hAnsiTheme="minorHAnsi" w:cstheme="minorHAnsi"/>
          <w:sz w:val="22"/>
          <w:lang w:eastAsia="en-AU"/>
        </w:rPr>
        <w:t xml:space="preserve"> rai</w:t>
      </w:r>
      <w:r w:rsidR="00CD6953" w:rsidRPr="00BB5D86">
        <w:rPr>
          <w:rFonts w:asciiTheme="minorHAnsi" w:hAnsiTheme="minorHAnsi" w:cstheme="minorHAnsi"/>
          <w:sz w:val="22"/>
          <w:lang w:eastAsia="en-AU"/>
        </w:rPr>
        <w:t>s</w:t>
      </w:r>
      <w:r w:rsidR="00D82C5E" w:rsidRPr="00BB5D86">
        <w:rPr>
          <w:rFonts w:asciiTheme="minorHAnsi" w:hAnsiTheme="minorHAnsi" w:cstheme="minorHAnsi"/>
          <w:sz w:val="22"/>
          <w:lang w:eastAsia="en-AU"/>
        </w:rPr>
        <w:t>ing children</w:t>
      </w:r>
      <w:r w:rsidR="00CD6953" w:rsidRPr="00BB5D86">
        <w:rPr>
          <w:rFonts w:asciiTheme="minorHAnsi" w:hAnsiTheme="minorHAnsi" w:cstheme="minorHAnsi"/>
          <w:sz w:val="22"/>
          <w:lang w:eastAsia="en-AU"/>
        </w:rPr>
        <w:t xml:space="preserve">.  The data </w:t>
      </w:r>
      <w:r w:rsidR="007D76C7" w:rsidRPr="00BB5D86">
        <w:rPr>
          <w:rFonts w:asciiTheme="minorHAnsi" w:hAnsiTheme="minorHAnsi" w:cstheme="minorHAnsi"/>
          <w:sz w:val="22"/>
          <w:lang w:eastAsia="en-AU"/>
        </w:rPr>
        <w:t xml:space="preserve">also </w:t>
      </w:r>
      <w:r w:rsidR="00CD6953" w:rsidRPr="00BB5D86">
        <w:rPr>
          <w:rFonts w:asciiTheme="minorHAnsi" w:hAnsiTheme="minorHAnsi" w:cstheme="minorHAnsi"/>
          <w:sz w:val="22"/>
          <w:lang w:eastAsia="en-AU"/>
        </w:rPr>
        <w:t>shows that</w:t>
      </w:r>
      <w:r w:rsidR="00AE2A44" w:rsidRPr="00BB5D86">
        <w:rPr>
          <w:rFonts w:asciiTheme="minorHAnsi" w:hAnsiTheme="minorHAnsi" w:cstheme="minorHAnsi"/>
          <w:sz w:val="22"/>
          <w:lang w:eastAsia="en-AU"/>
        </w:rPr>
        <w:t>, 1 in 10 are Indigenous, 1-in-3 are aged over 45 and 1-in-</w:t>
      </w:r>
      <w:r w:rsidR="00D82C5E" w:rsidRPr="00BB5D86">
        <w:rPr>
          <w:rFonts w:asciiTheme="minorHAnsi" w:hAnsiTheme="minorHAnsi" w:cstheme="minorHAnsi"/>
          <w:sz w:val="22"/>
          <w:lang w:eastAsia="en-AU"/>
        </w:rPr>
        <w:t>7 have a disability, while a third have a diagnosed or undiagnosed mental health condition</w:t>
      </w:r>
      <w:r w:rsidR="008A3E71">
        <w:rPr>
          <w:rFonts w:asciiTheme="minorHAnsi" w:hAnsiTheme="minorHAnsi" w:cstheme="minorHAnsi"/>
          <w:sz w:val="22"/>
          <w:lang w:eastAsia="en-AU"/>
        </w:rPr>
        <w:t>. There is a substantial group of women over 50 who are long-term income</w:t>
      </w:r>
      <w:r w:rsidR="005D278C">
        <w:rPr>
          <w:rFonts w:asciiTheme="minorHAnsi" w:hAnsiTheme="minorHAnsi" w:cstheme="minorHAnsi"/>
          <w:sz w:val="22"/>
          <w:lang w:eastAsia="en-AU"/>
        </w:rPr>
        <w:t xml:space="preserve"> Newstart Allowance</w:t>
      </w:r>
      <w:r w:rsidR="008A3E71">
        <w:rPr>
          <w:rFonts w:asciiTheme="minorHAnsi" w:hAnsiTheme="minorHAnsi" w:cstheme="minorHAnsi"/>
          <w:sz w:val="22"/>
          <w:lang w:eastAsia="en-AU"/>
        </w:rPr>
        <w:t xml:space="preserve"> recipients</w:t>
      </w:r>
      <w:r w:rsidR="005D278C">
        <w:rPr>
          <w:rFonts w:asciiTheme="minorHAnsi" w:hAnsiTheme="minorHAnsi" w:cstheme="minorHAnsi"/>
          <w:sz w:val="22"/>
          <w:lang w:eastAsia="en-AU"/>
        </w:rPr>
        <w:t xml:space="preserve">. Despite </w:t>
      </w:r>
      <w:r w:rsidR="00FE420F">
        <w:rPr>
          <w:rFonts w:asciiTheme="minorHAnsi" w:hAnsiTheme="minorHAnsi" w:cstheme="minorHAnsi"/>
          <w:sz w:val="22"/>
          <w:lang w:eastAsia="en-AU"/>
        </w:rPr>
        <w:t>significant</w:t>
      </w:r>
      <w:r w:rsidR="005D278C">
        <w:rPr>
          <w:rFonts w:asciiTheme="minorHAnsi" w:hAnsiTheme="minorHAnsi" w:cstheme="minorHAnsi"/>
          <w:sz w:val="22"/>
          <w:lang w:eastAsia="en-AU"/>
        </w:rPr>
        <w:t xml:space="preserve"> efforts to re-enter the workforce, </w:t>
      </w:r>
      <w:r w:rsidR="00FE420F">
        <w:rPr>
          <w:rFonts w:asciiTheme="minorHAnsi" w:hAnsiTheme="minorHAnsi" w:cstheme="minorHAnsi"/>
          <w:sz w:val="22"/>
          <w:lang w:eastAsia="en-AU"/>
        </w:rPr>
        <w:t>the reality</w:t>
      </w:r>
      <w:r w:rsidR="008A3E71">
        <w:rPr>
          <w:rFonts w:asciiTheme="minorHAnsi" w:hAnsiTheme="minorHAnsi" w:cstheme="minorHAnsi"/>
          <w:sz w:val="22"/>
          <w:lang w:eastAsia="en-AU"/>
        </w:rPr>
        <w:t xml:space="preserve"> </w:t>
      </w:r>
      <w:r w:rsidR="005D278C">
        <w:rPr>
          <w:rFonts w:asciiTheme="minorHAnsi" w:hAnsiTheme="minorHAnsi" w:cstheme="minorHAnsi"/>
          <w:sz w:val="22"/>
          <w:lang w:eastAsia="en-AU"/>
        </w:rPr>
        <w:t xml:space="preserve">is that NSW has become </w:t>
      </w:r>
      <w:r w:rsidR="008A3E71">
        <w:rPr>
          <w:rFonts w:asciiTheme="minorHAnsi" w:hAnsiTheme="minorHAnsi" w:cstheme="minorHAnsi"/>
          <w:sz w:val="22"/>
          <w:lang w:eastAsia="en-AU"/>
        </w:rPr>
        <w:t>a long term payment</w:t>
      </w:r>
      <w:r w:rsidR="005D278C">
        <w:rPr>
          <w:rFonts w:asciiTheme="minorHAnsi" w:hAnsiTheme="minorHAnsi" w:cstheme="minorHAnsi"/>
          <w:sz w:val="22"/>
          <w:lang w:eastAsia="en-AU"/>
        </w:rPr>
        <w:t xml:space="preserve"> for this group.</w:t>
      </w:r>
      <w:r w:rsidR="005E334A">
        <w:rPr>
          <w:rStyle w:val="FootnoteReference"/>
          <w:rFonts w:asciiTheme="minorHAnsi" w:hAnsiTheme="minorHAnsi" w:cstheme="minorHAnsi"/>
          <w:sz w:val="22"/>
          <w:lang w:eastAsia="en-AU"/>
        </w:rPr>
        <w:footnoteReference w:id="6"/>
      </w:r>
    </w:p>
    <w:p w:rsidR="007B09D4" w:rsidRPr="00BB5D86" w:rsidRDefault="007B09D4" w:rsidP="00473914">
      <w:pPr>
        <w:jc w:val="both"/>
        <w:rPr>
          <w:rFonts w:asciiTheme="minorHAnsi" w:hAnsiTheme="minorHAnsi" w:cstheme="minorHAnsi"/>
          <w:sz w:val="22"/>
          <w:lang w:eastAsia="en-AU"/>
        </w:rPr>
      </w:pPr>
    </w:p>
    <w:p w:rsidR="000D5DB9" w:rsidRPr="00BB5D86" w:rsidRDefault="000D5DB9" w:rsidP="000D5DB9">
      <w:pPr>
        <w:jc w:val="both"/>
        <w:rPr>
          <w:rFonts w:asciiTheme="minorHAnsi" w:hAnsiTheme="minorHAnsi" w:cstheme="minorHAnsi"/>
          <w:sz w:val="22"/>
          <w:lang w:eastAsia="en-AU"/>
        </w:rPr>
      </w:pPr>
      <w:r w:rsidRPr="00BB5D86">
        <w:rPr>
          <w:rFonts w:asciiTheme="minorHAnsi" w:hAnsiTheme="minorHAnsi" w:cstheme="minorHAnsi"/>
          <w:sz w:val="22"/>
          <w:lang w:eastAsia="en-AU"/>
        </w:rPr>
        <w:t xml:space="preserve">Three quarters of those in receipt of the Newstart Allowance are single and try to make ends meet on a base rate payment of just $35 a day. Young people living independently fare even worse, on just $29 per day. It is even harder for Youth Allowance recipients </w:t>
      </w:r>
      <w:r w:rsidR="005E334A">
        <w:rPr>
          <w:rFonts w:asciiTheme="minorHAnsi" w:hAnsiTheme="minorHAnsi" w:cstheme="minorHAnsi"/>
          <w:sz w:val="22"/>
          <w:lang w:eastAsia="en-AU"/>
        </w:rPr>
        <w:t>because their</w:t>
      </w:r>
      <w:r w:rsidRPr="00BB5D86">
        <w:rPr>
          <w:rFonts w:asciiTheme="minorHAnsi" w:hAnsiTheme="minorHAnsi" w:cstheme="minorHAnsi"/>
          <w:sz w:val="22"/>
          <w:lang w:eastAsia="en-AU"/>
        </w:rPr>
        <w:t xml:space="preserve"> payment</w:t>
      </w:r>
      <w:r w:rsidR="005E334A">
        <w:rPr>
          <w:rFonts w:asciiTheme="minorHAnsi" w:hAnsiTheme="minorHAnsi" w:cstheme="minorHAnsi"/>
          <w:sz w:val="22"/>
          <w:lang w:eastAsia="en-AU"/>
        </w:rPr>
        <w:t>s</w:t>
      </w:r>
      <w:r w:rsidRPr="00BB5D86">
        <w:rPr>
          <w:rFonts w:asciiTheme="minorHAnsi" w:hAnsiTheme="minorHAnsi" w:cstheme="minorHAnsi"/>
          <w:sz w:val="22"/>
          <w:lang w:eastAsia="en-AU"/>
        </w:rPr>
        <w:t xml:space="preserve"> </w:t>
      </w:r>
      <w:r w:rsidR="005E334A">
        <w:rPr>
          <w:rFonts w:asciiTheme="minorHAnsi" w:hAnsiTheme="minorHAnsi" w:cstheme="minorHAnsi"/>
          <w:sz w:val="22"/>
          <w:lang w:eastAsia="en-AU"/>
        </w:rPr>
        <w:t>are</w:t>
      </w:r>
      <w:r w:rsidRPr="00BB5D86">
        <w:rPr>
          <w:rFonts w:asciiTheme="minorHAnsi" w:hAnsiTheme="minorHAnsi" w:cstheme="minorHAnsi"/>
          <w:sz w:val="22"/>
          <w:lang w:eastAsia="en-AU"/>
        </w:rPr>
        <w:t xml:space="preserve"> indexed only once a year</w:t>
      </w:r>
      <w:r w:rsidR="00C3374D">
        <w:rPr>
          <w:rFonts w:asciiTheme="minorHAnsi" w:hAnsiTheme="minorHAnsi" w:cstheme="minorHAnsi"/>
          <w:sz w:val="22"/>
          <w:lang w:eastAsia="en-AU"/>
        </w:rPr>
        <w:t>.</w:t>
      </w:r>
    </w:p>
    <w:p w:rsidR="000D5DB9" w:rsidRPr="00BB5D86" w:rsidRDefault="000D5DB9" w:rsidP="000D5DB9">
      <w:pPr>
        <w:jc w:val="both"/>
        <w:rPr>
          <w:rFonts w:asciiTheme="minorHAnsi" w:hAnsiTheme="minorHAnsi" w:cstheme="minorHAnsi"/>
          <w:sz w:val="22"/>
          <w:lang w:eastAsia="en-AU"/>
        </w:rPr>
      </w:pPr>
    </w:p>
    <w:p w:rsidR="000D5DB9" w:rsidRPr="00BB5D86" w:rsidRDefault="000D5DB9" w:rsidP="000D5DB9">
      <w:pPr>
        <w:jc w:val="both"/>
        <w:rPr>
          <w:rFonts w:asciiTheme="minorHAnsi" w:hAnsiTheme="minorHAnsi" w:cstheme="minorHAnsi"/>
          <w:sz w:val="22"/>
          <w:lang w:eastAsia="en-AU"/>
        </w:rPr>
      </w:pPr>
      <w:r w:rsidRPr="00BB5D86">
        <w:rPr>
          <w:rFonts w:asciiTheme="minorHAnsi" w:hAnsiTheme="minorHAnsi" w:cstheme="minorHAnsi"/>
          <w:sz w:val="22"/>
          <w:lang w:eastAsia="en-AU"/>
        </w:rPr>
        <w:t xml:space="preserve">Single parents with children are also doing it tough on Newstart receiving only $38 per day base rate.  Federal Budget changes in 2006, 2011 and 2013 have contributed to the impoverishment of </w:t>
      </w:r>
      <w:r w:rsidR="005E334A">
        <w:rPr>
          <w:rFonts w:asciiTheme="minorHAnsi" w:hAnsiTheme="minorHAnsi" w:cstheme="minorHAnsi"/>
          <w:sz w:val="22"/>
          <w:lang w:eastAsia="en-AU"/>
        </w:rPr>
        <w:t>many</w:t>
      </w:r>
      <w:r w:rsidRPr="00BB5D86">
        <w:rPr>
          <w:rFonts w:asciiTheme="minorHAnsi" w:hAnsiTheme="minorHAnsi" w:cstheme="minorHAnsi"/>
          <w:sz w:val="22"/>
          <w:lang w:eastAsia="en-AU"/>
        </w:rPr>
        <w:t xml:space="preserve"> single parent families.</w:t>
      </w:r>
    </w:p>
    <w:p w:rsidR="000D5DB9" w:rsidRPr="00BB5D86" w:rsidRDefault="000D5DB9" w:rsidP="00473914">
      <w:pPr>
        <w:jc w:val="both"/>
        <w:rPr>
          <w:rFonts w:asciiTheme="minorHAnsi" w:hAnsiTheme="minorHAnsi" w:cstheme="minorHAnsi"/>
          <w:sz w:val="22"/>
          <w:lang w:eastAsia="en-AU"/>
        </w:rPr>
      </w:pPr>
    </w:p>
    <w:p w:rsidR="000D5DB9" w:rsidRPr="00BB5D86" w:rsidRDefault="000D5DB9" w:rsidP="0046232D">
      <w:pPr>
        <w:jc w:val="both"/>
        <w:rPr>
          <w:rFonts w:asciiTheme="minorHAnsi" w:hAnsiTheme="minorHAnsi" w:cstheme="minorHAnsi"/>
          <w:b/>
          <w:sz w:val="22"/>
          <w:lang w:eastAsia="en-AU"/>
        </w:rPr>
      </w:pPr>
      <w:r w:rsidRPr="00BB5D86">
        <w:rPr>
          <w:rFonts w:asciiTheme="minorHAnsi" w:hAnsiTheme="minorHAnsi" w:cstheme="minorHAnsi"/>
          <w:sz w:val="22"/>
          <w:lang w:eastAsia="en-AU"/>
        </w:rPr>
        <w:t xml:space="preserve">Unemployment payments were last increased in real terms in 1994 by $2.95 per week.  </w:t>
      </w:r>
    </w:p>
    <w:p w:rsidR="000D5DB9" w:rsidRPr="00BB5D86" w:rsidRDefault="000D5DB9" w:rsidP="000D5DB9">
      <w:pPr>
        <w:jc w:val="both"/>
        <w:rPr>
          <w:rFonts w:asciiTheme="minorHAnsi" w:hAnsiTheme="minorHAnsi" w:cstheme="minorHAnsi"/>
          <w:sz w:val="22"/>
          <w:lang w:eastAsia="en-AU"/>
        </w:rPr>
      </w:pPr>
    </w:p>
    <w:p w:rsidR="000D5DB9" w:rsidRPr="00BB5D86" w:rsidRDefault="000D5DB9" w:rsidP="000D5DB9">
      <w:pPr>
        <w:jc w:val="both"/>
        <w:rPr>
          <w:rFonts w:asciiTheme="minorHAnsi" w:hAnsiTheme="minorHAnsi" w:cstheme="minorHAnsi"/>
          <w:color w:val="auto"/>
          <w:sz w:val="22"/>
          <w:lang w:eastAsia="en-AU"/>
        </w:rPr>
      </w:pPr>
      <w:r w:rsidRPr="00BB5D86">
        <w:rPr>
          <w:rFonts w:asciiTheme="minorHAnsi" w:hAnsiTheme="minorHAnsi" w:cstheme="minorHAnsi"/>
          <w:sz w:val="22"/>
          <w:lang w:eastAsia="en-AU"/>
        </w:rPr>
        <w:lastRenderedPageBreak/>
        <w:t>The most effective way to address the poverty experienced by people receiving social security allowance payments is to increase the single rate of allowances by $50 per week, as a</w:t>
      </w:r>
      <w:r w:rsidR="00E050EF" w:rsidRPr="00BB5D86">
        <w:rPr>
          <w:rFonts w:asciiTheme="minorHAnsi" w:hAnsiTheme="minorHAnsi" w:cstheme="minorHAnsi"/>
          <w:sz w:val="22"/>
          <w:lang w:eastAsia="en-AU"/>
        </w:rPr>
        <w:t xml:space="preserve">dvocated by key business, union, </w:t>
      </w:r>
      <w:r w:rsidRPr="00BB5D86">
        <w:rPr>
          <w:rFonts w:asciiTheme="minorHAnsi" w:hAnsiTheme="minorHAnsi" w:cstheme="minorHAnsi"/>
          <w:sz w:val="22"/>
          <w:lang w:eastAsia="en-AU"/>
        </w:rPr>
        <w:t xml:space="preserve">welfare and faith-based organisations. </w:t>
      </w:r>
      <w:r w:rsidR="005E334A" w:rsidRPr="00BB5D86">
        <w:rPr>
          <w:rFonts w:asciiTheme="minorHAnsi" w:hAnsiTheme="minorHAnsi" w:cstheme="minorHAnsi"/>
          <w:color w:val="auto"/>
          <w:sz w:val="22"/>
          <w:lang w:eastAsia="en-AU"/>
        </w:rPr>
        <w:t>The NWRN recognises that it may be appropriate to phase in such an increase</w:t>
      </w:r>
      <w:r w:rsidR="005E334A">
        <w:rPr>
          <w:rFonts w:asciiTheme="minorHAnsi" w:hAnsiTheme="minorHAnsi" w:cstheme="minorHAnsi"/>
          <w:color w:val="auto"/>
          <w:sz w:val="22"/>
          <w:lang w:eastAsia="en-AU"/>
        </w:rPr>
        <w:t>.</w:t>
      </w:r>
      <w:r w:rsidR="005D278C">
        <w:rPr>
          <w:rFonts w:asciiTheme="minorHAnsi" w:hAnsiTheme="minorHAnsi" w:cstheme="minorHAnsi"/>
          <w:color w:val="auto"/>
          <w:sz w:val="22"/>
          <w:lang w:eastAsia="en-AU"/>
        </w:rPr>
        <w:t xml:space="preserve"> </w:t>
      </w:r>
      <w:r w:rsidRPr="00BB5D86">
        <w:rPr>
          <w:rFonts w:asciiTheme="minorHAnsi" w:hAnsiTheme="minorHAnsi" w:cstheme="minorHAnsi"/>
          <w:sz w:val="22"/>
          <w:lang w:eastAsia="en-AU"/>
        </w:rPr>
        <w:t>The indexation of all allowance payments to wage movements in addition to prices w</w:t>
      </w:r>
      <w:r w:rsidR="005D278C">
        <w:rPr>
          <w:rFonts w:asciiTheme="minorHAnsi" w:hAnsiTheme="minorHAnsi" w:cstheme="minorHAnsi"/>
          <w:sz w:val="22"/>
          <w:lang w:eastAsia="en-AU"/>
        </w:rPr>
        <w:t>ould</w:t>
      </w:r>
      <w:r w:rsidRPr="00BB5D86">
        <w:rPr>
          <w:rFonts w:asciiTheme="minorHAnsi" w:hAnsiTheme="minorHAnsi" w:cstheme="minorHAnsi"/>
          <w:sz w:val="22"/>
          <w:lang w:eastAsia="en-AU"/>
        </w:rPr>
        <w:t xml:space="preserve"> assist in preventing the current $150 per week gap between pensions and allowances from rising in an unsustainable manner</w:t>
      </w:r>
      <w:r w:rsidRPr="00BB5D86">
        <w:rPr>
          <w:rFonts w:asciiTheme="minorHAnsi" w:hAnsiTheme="minorHAnsi" w:cstheme="minorHAnsi"/>
          <w:color w:val="auto"/>
          <w:sz w:val="22"/>
          <w:lang w:eastAsia="en-AU"/>
        </w:rPr>
        <w:t xml:space="preserve">.  </w:t>
      </w:r>
    </w:p>
    <w:p w:rsidR="000D5DB9" w:rsidRPr="00BB5D86" w:rsidRDefault="000D5DB9" w:rsidP="000D5DB9">
      <w:pPr>
        <w:jc w:val="both"/>
        <w:rPr>
          <w:rFonts w:asciiTheme="minorHAnsi" w:hAnsiTheme="minorHAnsi" w:cstheme="minorHAnsi"/>
          <w:sz w:val="22"/>
          <w:lang w:eastAsia="en-AU"/>
        </w:rPr>
      </w:pPr>
    </w:p>
    <w:p w:rsidR="000D5DB9" w:rsidRPr="00BB5D86" w:rsidRDefault="000D5DB9" w:rsidP="000D5DB9">
      <w:pPr>
        <w:jc w:val="both"/>
        <w:rPr>
          <w:rFonts w:asciiTheme="minorHAnsi" w:hAnsiTheme="minorHAnsi" w:cstheme="minorHAnsi"/>
          <w:sz w:val="22"/>
          <w:lang w:eastAsia="en-AU"/>
        </w:rPr>
      </w:pPr>
      <w:r w:rsidRPr="00BB5D86">
        <w:rPr>
          <w:rFonts w:asciiTheme="minorHAnsi" w:hAnsiTheme="minorHAnsi" w:cstheme="minorHAnsi"/>
          <w:sz w:val="22"/>
          <w:lang w:eastAsia="en-AU"/>
        </w:rPr>
        <w:t>An increase to allowance payments would directly assist the nation’s poorest families</w:t>
      </w:r>
      <w:r w:rsidR="00210D6E" w:rsidRPr="00BB5D86">
        <w:rPr>
          <w:rFonts w:asciiTheme="minorHAnsi" w:hAnsiTheme="minorHAnsi" w:cstheme="minorHAnsi"/>
          <w:sz w:val="22"/>
          <w:lang w:eastAsia="en-AU"/>
        </w:rPr>
        <w:t xml:space="preserve">, including the 110,000 single </w:t>
      </w:r>
      <w:r w:rsidRPr="00BB5D86">
        <w:rPr>
          <w:rFonts w:asciiTheme="minorHAnsi" w:hAnsiTheme="minorHAnsi" w:cstheme="minorHAnsi"/>
          <w:sz w:val="22"/>
          <w:lang w:eastAsia="en-AU"/>
        </w:rPr>
        <w:t>parent families</w:t>
      </w:r>
      <w:r w:rsidR="00210D6E" w:rsidRPr="00BB5D86">
        <w:rPr>
          <w:rFonts w:asciiTheme="minorHAnsi" w:hAnsiTheme="minorHAnsi" w:cstheme="minorHAnsi"/>
          <w:sz w:val="22"/>
          <w:lang w:eastAsia="en-AU"/>
        </w:rPr>
        <w:t xml:space="preserve"> who</w:t>
      </w:r>
      <w:r w:rsidRPr="00BB5D86">
        <w:rPr>
          <w:rFonts w:asciiTheme="minorHAnsi" w:hAnsiTheme="minorHAnsi" w:cstheme="minorHAnsi"/>
          <w:sz w:val="22"/>
          <w:lang w:eastAsia="en-AU"/>
        </w:rPr>
        <w:t xml:space="preserve"> </w:t>
      </w:r>
      <w:r w:rsidR="00210D6E" w:rsidRPr="00BB5D86">
        <w:rPr>
          <w:rFonts w:asciiTheme="minorHAnsi" w:hAnsiTheme="minorHAnsi" w:cstheme="minorHAnsi"/>
          <w:sz w:val="22"/>
          <w:lang w:eastAsia="en-AU"/>
        </w:rPr>
        <w:t>have been pushed onto the lower Newstart Allowance since 2006.</w:t>
      </w:r>
      <w:r w:rsidRPr="00BB5D86">
        <w:rPr>
          <w:rFonts w:asciiTheme="minorHAnsi" w:hAnsiTheme="minorHAnsi" w:cstheme="minorHAnsi"/>
          <w:sz w:val="22"/>
          <w:lang w:eastAsia="en-AU"/>
        </w:rPr>
        <w:t xml:space="preserve"> An across-the-board increase to single allowance payments would also bring financial relief for over 121,000 people with disabilities on the Newstart Allowance as well as </w:t>
      </w:r>
      <w:r w:rsidR="00E050EF" w:rsidRPr="00BB5D86">
        <w:rPr>
          <w:rFonts w:asciiTheme="minorHAnsi" w:hAnsiTheme="minorHAnsi" w:cstheme="minorHAnsi"/>
          <w:sz w:val="22"/>
          <w:lang w:eastAsia="en-AU"/>
        </w:rPr>
        <w:t>young people and</w:t>
      </w:r>
      <w:r w:rsidRPr="00BB5D86">
        <w:rPr>
          <w:rFonts w:asciiTheme="minorHAnsi" w:hAnsiTheme="minorHAnsi" w:cstheme="minorHAnsi"/>
          <w:sz w:val="22"/>
          <w:lang w:eastAsia="en-AU"/>
        </w:rPr>
        <w:t xml:space="preserve"> mature age workers trying to </w:t>
      </w:r>
      <w:r w:rsidR="00210D6E" w:rsidRPr="00BB5D86">
        <w:rPr>
          <w:rFonts w:asciiTheme="minorHAnsi" w:hAnsiTheme="minorHAnsi" w:cstheme="minorHAnsi"/>
          <w:sz w:val="22"/>
          <w:lang w:eastAsia="en-AU"/>
        </w:rPr>
        <w:t>find</w:t>
      </w:r>
      <w:r w:rsidRPr="00BB5D86">
        <w:rPr>
          <w:rFonts w:asciiTheme="minorHAnsi" w:hAnsiTheme="minorHAnsi" w:cstheme="minorHAnsi"/>
          <w:sz w:val="22"/>
          <w:lang w:eastAsia="en-AU"/>
        </w:rPr>
        <w:t xml:space="preserve"> a foothold in the </w:t>
      </w:r>
      <w:r w:rsidR="005E334A">
        <w:rPr>
          <w:rFonts w:asciiTheme="minorHAnsi" w:hAnsiTheme="minorHAnsi" w:cstheme="minorHAnsi"/>
          <w:sz w:val="22"/>
          <w:lang w:eastAsia="en-AU"/>
        </w:rPr>
        <w:t>labour market</w:t>
      </w:r>
      <w:r w:rsidRPr="00BB5D86">
        <w:rPr>
          <w:rFonts w:asciiTheme="minorHAnsi" w:hAnsiTheme="minorHAnsi" w:cstheme="minorHAnsi"/>
          <w:sz w:val="22"/>
          <w:lang w:eastAsia="en-AU"/>
        </w:rPr>
        <w:t xml:space="preserve">. </w:t>
      </w:r>
    </w:p>
    <w:p w:rsidR="000D5DB9" w:rsidRPr="00BB5D86" w:rsidRDefault="000D5DB9" w:rsidP="000D5DB9">
      <w:pPr>
        <w:jc w:val="both"/>
        <w:rPr>
          <w:rFonts w:asciiTheme="minorHAnsi" w:hAnsiTheme="minorHAnsi" w:cstheme="minorHAnsi"/>
          <w:sz w:val="22"/>
          <w:lang w:eastAsia="en-AU"/>
        </w:rPr>
      </w:pPr>
    </w:p>
    <w:p w:rsidR="004454B7" w:rsidRPr="000966B1" w:rsidRDefault="000D5DB9" w:rsidP="000D5DB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Times New Roman" w:hAnsiTheme="minorHAnsi" w:cstheme="minorHAnsi"/>
          <w:color w:val="auto"/>
          <w:sz w:val="22"/>
          <w:lang w:eastAsia="en-AU"/>
        </w:rPr>
      </w:pPr>
      <w:r w:rsidRPr="00BB5D86">
        <w:rPr>
          <w:rFonts w:asciiTheme="minorHAnsi" w:eastAsia="Times New Roman" w:hAnsiTheme="minorHAnsi" w:cstheme="minorHAnsi"/>
          <w:b/>
          <w:color w:val="auto"/>
          <w:sz w:val="22"/>
          <w:lang w:eastAsia="en-AU"/>
        </w:rPr>
        <w:t>Recommendation</w:t>
      </w:r>
      <w:r w:rsidR="00D35273">
        <w:rPr>
          <w:rFonts w:asciiTheme="minorHAnsi" w:eastAsia="Times New Roman" w:hAnsiTheme="minorHAnsi" w:cstheme="minorHAnsi"/>
          <w:b/>
          <w:color w:val="auto"/>
          <w:sz w:val="22"/>
          <w:lang w:eastAsia="en-AU"/>
        </w:rPr>
        <w:t xml:space="preserve"> #1</w:t>
      </w:r>
      <w:r w:rsidRPr="00BB5D86">
        <w:rPr>
          <w:rFonts w:asciiTheme="minorHAnsi" w:eastAsia="Times New Roman" w:hAnsiTheme="minorHAnsi" w:cstheme="minorHAnsi"/>
          <w:b/>
          <w:color w:val="auto"/>
          <w:sz w:val="22"/>
          <w:lang w:eastAsia="en-AU"/>
        </w:rPr>
        <w:t xml:space="preserve">: </w:t>
      </w:r>
      <w:r w:rsidRPr="000966B1">
        <w:rPr>
          <w:rFonts w:asciiTheme="minorHAnsi" w:eastAsia="Times New Roman" w:hAnsiTheme="minorHAnsi" w:cstheme="minorHAnsi"/>
          <w:color w:val="auto"/>
          <w:sz w:val="22"/>
          <w:lang w:eastAsia="en-AU"/>
        </w:rPr>
        <w:t xml:space="preserve">That </w:t>
      </w:r>
      <w:r w:rsidR="00730EB9" w:rsidRPr="000966B1">
        <w:rPr>
          <w:rFonts w:asciiTheme="minorHAnsi" w:eastAsia="Times New Roman" w:hAnsiTheme="minorHAnsi" w:cstheme="minorHAnsi"/>
          <w:color w:val="auto"/>
          <w:sz w:val="22"/>
          <w:lang w:eastAsia="en-AU"/>
        </w:rPr>
        <w:t xml:space="preserve">the rate for all </w:t>
      </w:r>
      <w:r w:rsidRPr="000966B1">
        <w:rPr>
          <w:rFonts w:asciiTheme="minorHAnsi" w:eastAsia="Times New Roman" w:hAnsiTheme="minorHAnsi" w:cstheme="minorHAnsi"/>
          <w:color w:val="auto"/>
          <w:sz w:val="22"/>
          <w:lang w:eastAsia="en-AU"/>
        </w:rPr>
        <w:t>allowance payments for single people be increased by $50 per week from March 201</w:t>
      </w:r>
      <w:r w:rsidR="005E334A">
        <w:rPr>
          <w:rFonts w:asciiTheme="minorHAnsi" w:eastAsia="Times New Roman" w:hAnsiTheme="minorHAnsi" w:cstheme="minorHAnsi"/>
          <w:color w:val="auto"/>
          <w:sz w:val="22"/>
          <w:lang w:eastAsia="en-AU"/>
        </w:rPr>
        <w:t>5</w:t>
      </w:r>
      <w:r w:rsidR="00730EB9" w:rsidRPr="000966B1">
        <w:rPr>
          <w:rFonts w:asciiTheme="minorHAnsi" w:eastAsia="Times New Roman" w:hAnsiTheme="minorHAnsi" w:cstheme="minorHAnsi"/>
          <w:color w:val="auto"/>
          <w:sz w:val="22"/>
          <w:lang w:eastAsia="en-AU"/>
        </w:rPr>
        <w:t>.</w:t>
      </w:r>
      <w:r w:rsidR="004454B7" w:rsidRPr="000966B1">
        <w:rPr>
          <w:rFonts w:asciiTheme="minorHAnsi" w:eastAsia="Times New Roman" w:hAnsiTheme="minorHAnsi" w:cstheme="minorHAnsi"/>
          <w:color w:val="auto"/>
          <w:sz w:val="22"/>
          <w:lang w:eastAsia="en-AU"/>
        </w:rPr>
        <w:t xml:space="preserve"> </w:t>
      </w:r>
    </w:p>
    <w:p w:rsidR="000966B1" w:rsidRDefault="000966B1" w:rsidP="000D5DB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Times New Roman" w:hAnsiTheme="minorHAnsi" w:cstheme="minorHAnsi"/>
          <w:b/>
          <w:color w:val="auto"/>
          <w:sz w:val="22"/>
          <w:lang w:eastAsia="en-AU"/>
        </w:rPr>
      </w:pPr>
    </w:p>
    <w:p w:rsidR="004454B7" w:rsidRPr="000966B1" w:rsidRDefault="004454B7" w:rsidP="000D5DB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Times New Roman" w:hAnsiTheme="minorHAnsi" w:cstheme="minorHAnsi"/>
          <w:color w:val="auto"/>
          <w:sz w:val="22"/>
          <w:lang w:eastAsia="en-AU"/>
        </w:rPr>
      </w:pPr>
      <w:r>
        <w:rPr>
          <w:rFonts w:asciiTheme="minorHAnsi" w:eastAsia="Times New Roman" w:hAnsiTheme="minorHAnsi" w:cstheme="minorHAnsi"/>
          <w:b/>
          <w:color w:val="auto"/>
          <w:sz w:val="22"/>
          <w:lang w:eastAsia="en-AU"/>
        </w:rPr>
        <w:t xml:space="preserve">Recommendation #2: </w:t>
      </w:r>
      <w:r w:rsidRPr="000966B1">
        <w:rPr>
          <w:rFonts w:asciiTheme="minorHAnsi" w:eastAsia="Times New Roman" w:hAnsiTheme="minorHAnsi" w:cstheme="minorHAnsi"/>
          <w:color w:val="auto"/>
          <w:sz w:val="22"/>
          <w:lang w:eastAsia="en-AU"/>
        </w:rPr>
        <w:t xml:space="preserve">The single rate benchmarked to 66.3% of the combined married couple rate of Allowances as is the case for pension payments (and a higher rate in the case of sole parents). </w:t>
      </w:r>
    </w:p>
    <w:p w:rsidR="004454B7" w:rsidRPr="000966B1" w:rsidRDefault="004454B7" w:rsidP="000D5DB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Times New Roman" w:hAnsiTheme="minorHAnsi" w:cstheme="minorHAnsi"/>
          <w:color w:val="auto"/>
          <w:sz w:val="22"/>
          <w:lang w:eastAsia="en-AU"/>
        </w:rPr>
      </w:pPr>
    </w:p>
    <w:p w:rsidR="000D5DB9" w:rsidRPr="000966B1" w:rsidRDefault="004454B7" w:rsidP="000D5DB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Times New Roman" w:hAnsiTheme="minorHAnsi" w:cstheme="minorHAnsi"/>
          <w:color w:val="auto"/>
          <w:sz w:val="22"/>
          <w:lang w:eastAsia="en-AU"/>
        </w:rPr>
      </w:pPr>
      <w:r w:rsidRPr="000966B1">
        <w:rPr>
          <w:rFonts w:asciiTheme="minorHAnsi" w:eastAsia="Times New Roman" w:hAnsiTheme="minorHAnsi" w:cstheme="minorHAnsi"/>
          <w:color w:val="auto"/>
          <w:sz w:val="22"/>
          <w:lang w:eastAsia="en-AU"/>
        </w:rPr>
        <w:t>These increases should apply to recipients of Newstart Allowance, Widow Allowance, Sickness Allowance, Special Benefit, Crisis Payment, and Youth Allowance (Other) recipients living independently of their parents.</w:t>
      </w:r>
    </w:p>
    <w:p w:rsidR="000D5DB9" w:rsidRPr="00BB5D86" w:rsidRDefault="000D5DB9" w:rsidP="000D5DB9">
      <w:pPr>
        <w:jc w:val="both"/>
        <w:rPr>
          <w:rFonts w:asciiTheme="minorHAnsi" w:hAnsiTheme="minorHAnsi" w:cstheme="minorHAnsi"/>
          <w:sz w:val="22"/>
          <w:lang w:eastAsia="en-AU"/>
        </w:rPr>
      </w:pPr>
    </w:p>
    <w:p w:rsidR="004A4DA0" w:rsidRPr="00FE420F" w:rsidRDefault="005D278C" w:rsidP="00012394">
      <w:pPr>
        <w:pStyle w:val="Heading3"/>
        <w:rPr>
          <w:sz w:val="24"/>
          <w:szCs w:val="24"/>
        </w:rPr>
      </w:pPr>
      <w:bookmarkStart w:id="6" w:name="_Toc379199682"/>
      <w:r>
        <w:rPr>
          <w:sz w:val="24"/>
          <w:szCs w:val="24"/>
        </w:rPr>
        <w:t>Better</w:t>
      </w:r>
      <w:r w:rsidR="00730EB9" w:rsidRPr="00FE420F">
        <w:rPr>
          <w:sz w:val="24"/>
          <w:szCs w:val="24"/>
        </w:rPr>
        <w:t xml:space="preserve"> </w:t>
      </w:r>
      <w:r w:rsidR="004A4DA0" w:rsidRPr="00FE420F">
        <w:rPr>
          <w:sz w:val="24"/>
          <w:szCs w:val="24"/>
        </w:rPr>
        <w:t xml:space="preserve">indexation </w:t>
      </w:r>
      <w:r w:rsidR="004454B7" w:rsidRPr="00FE420F">
        <w:rPr>
          <w:sz w:val="24"/>
          <w:szCs w:val="24"/>
        </w:rPr>
        <w:t>for</w:t>
      </w:r>
      <w:r w:rsidR="004A4DA0" w:rsidRPr="00FE420F">
        <w:rPr>
          <w:sz w:val="24"/>
          <w:szCs w:val="24"/>
        </w:rPr>
        <w:t xml:space="preserve"> allowances</w:t>
      </w:r>
      <w:bookmarkEnd w:id="6"/>
    </w:p>
    <w:p w:rsidR="004A4DA0" w:rsidRPr="00BB5D86" w:rsidRDefault="004A4DA0" w:rsidP="00473914">
      <w:pPr>
        <w:jc w:val="both"/>
        <w:rPr>
          <w:rFonts w:asciiTheme="minorHAnsi" w:hAnsiTheme="minorHAnsi" w:cstheme="minorHAnsi"/>
          <w:sz w:val="22"/>
          <w:lang w:eastAsia="en-AU"/>
        </w:rPr>
      </w:pPr>
    </w:p>
    <w:p w:rsidR="0046232D" w:rsidRPr="00BB5D86" w:rsidRDefault="00807C6F" w:rsidP="00473914">
      <w:pPr>
        <w:jc w:val="both"/>
        <w:rPr>
          <w:rFonts w:asciiTheme="minorHAnsi" w:hAnsiTheme="minorHAnsi" w:cstheme="minorHAnsi"/>
          <w:sz w:val="22"/>
          <w:lang w:eastAsia="en-AU"/>
        </w:rPr>
      </w:pPr>
      <w:r>
        <w:rPr>
          <w:rFonts w:asciiTheme="minorHAnsi" w:hAnsiTheme="minorHAnsi" w:cstheme="minorHAnsi"/>
          <w:sz w:val="22"/>
          <w:lang w:eastAsia="en-AU"/>
        </w:rPr>
        <w:t>Well-designed</w:t>
      </w:r>
      <w:r w:rsidR="00682686" w:rsidRPr="00BB5D86">
        <w:rPr>
          <w:rFonts w:asciiTheme="minorHAnsi" w:hAnsiTheme="minorHAnsi" w:cstheme="minorHAnsi"/>
          <w:sz w:val="22"/>
          <w:lang w:eastAsia="en-AU"/>
        </w:rPr>
        <w:t xml:space="preserve"> indexation of social security payments provides an important buffer against poverty and </w:t>
      </w:r>
      <w:r w:rsidR="005E334A">
        <w:rPr>
          <w:rFonts w:asciiTheme="minorHAnsi" w:hAnsiTheme="minorHAnsi" w:cstheme="minorHAnsi"/>
          <w:sz w:val="22"/>
          <w:lang w:eastAsia="en-AU"/>
        </w:rPr>
        <w:t>is</w:t>
      </w:r>
      <w:r w:rsidR="00682686" w:rsidRPr="00BB5D86">
        <w:rPr>
          <w:rFonts w:asciiTheme="minorHAnsi" w:hAnsiTheme="minorHAnsi" w:cstheme="minorHAnsi"/>
          <w:sz w:val="22"/>
          <w:lang w:eastAsia="en-AU"/>
        </w:rPr>
        <w:t xml:space="preserve"> critical in maintain</w:t>
      </w:r>
      <w:r w:rsidR="00730EB9">
        <w:rPr>
          <w:rFonts w:asciiTheme="minorHAnsi" w:hAnsiTheme="minorHAnsi" w:cstheme="minorHAnsi"/>
          <w:sz w:val="22"/>
          <w:lang w:eastAsia="en-AU"/>
        </w:rPr>
        <w:t>ing</w:t>
      </w:r>
      <w:r w:rsidR="00682686" w:rsidRPr="00BB5D86">
        <w:rPr>
          <w:rFonts w:asciiTheme="minorHAnsi" w:hAnsiTheme="minorHAnsi" w:cstheme="minorHAnsi"/>
          <w:sz w:val="22"/>
          <w:lang w:eastAsia="en-AU"/>
        </w:rPr>
        <w:t xml:space="preserve"> the purchasing power of people on low and limited incomes. </w:t>
      </w:r>
    </w:p>
    <w:p w:rsidR="00682686" w:rsidRPr="00BB5D86" w:rsidRDefault="00682686" w:rsidP="00473914">
      <w:pPr>
        <w:jc w:val="both"/>
        <w:rPr>
          <w:rFonts w:asciiTheme="minorHAnsi" w:hAnsiTheme="minorHAnsi" w:cstheme="minorHAnsi"/>
          <w:sz w:val="22"/>
          <w:lang w:eastAsia="en-AU"/>
        </w:rPr>
      </w:pPr>
    </w:p>
    <w:p w:rsidR="004A4DA0" w:rsidRPr="00BB5D86" w:rsidRDefault="007B09D4" w:rsidP="00473914">
      <w:pPr>
        <w:jc w:val="both"/>
        <w:rPr>
          <w:rFonts w:asciiTheme="minorHAnsi" w:hAnsiTheme="minorHAnsi" w:cstheme="minorHAnsi"/>
          <w:sz w:val="22"/>
          <w:lang w:eastAsia="en-AU"/>
        </w:rPr>
      </w:pPr>
      <w:r w:rsidRPr="00BB5D86">
        <w:rPr>
          <w:rFonts w:asciiTheme="minorHAnsi" w:hAnsiTheme="minorHAnsi" w:cstheme="minorHAnsi"/>
          <w:sz w:val="22"/>
          <w:lang w:eastAsia="en-AU"/>
        </w:rPr>
        <w:t>There is a</w:t>
      </w:r>
      <w:r w:rsidR="00FA3C72" w:rsidRPr="00BB5D86">
        <w:rPr>
          <w:rFonts w:asciiTheme="minorHAnsi" w:hAnsiTheme="minorHAnsi" w:cstheme="minorHAnsi"/>
          <w:sz w:val="22"/>
          <w:lang w:eastAsia="en-AU"/>
        </w:rPr>
        <w:t>n urgent</w:t>
      </w:r>
      <w:r w:rsidRPr="00BB5D86">
        <w:rPr>
          <w:rFonts w:asciiTheme="minorHAnsi" w:hAnsiTheme="minorHAnsi" w:cstheme="minorHAnsi"/>
          <w:sz w:val="22"/>
          <w:lang w:eastAsia="en-AU"/>
        </w:rPr>
        <w:t xml:space="preserve"> need to review the </w:t>
      </w:r>
      <w:r w:rsidR="0046232D" w:rsidRPr="00BB5D86">
        <w:rPr>
          <w:rFonts w:asciiTheme="minorHAnsi" w:hAnsiTheme="minorHAnsi" w:cstheme="minorHAnsi"/>
          <w:sz w:val="22"/>
          <w:lang w:eastAsia="en-AU"/>
        </w:rPr>
        <w:t xml:space="preserve">indexation of </w:t>
      </w:r>
      <w:r w:rsidR="00682686" w:rsidRPr="00BB5D86">
        <w:rPr>
          <w:rFonts w:asciiTheme="minorHAnsi" w:hAnsiTheme="minorHAnsi" w:cstheme="minorHAnsi"/>
          <w:sz w:val="22"/>
          <w:lang w:eastAsia="en-AU"/>
        </w:rPr>
        <w:t>all A</w:t>
      </w:r>
      <w:r w:rsidR="0046232D" w:rsidRPr="00BB5D86">
        <w:rPr>
          <w:rFonts w:asciiTheme="minorHAnsi" w:hAnsiTheme="minorHAnsi" w:cstheme="minorHAnsi"/>
          <w:sz w:val="22"/>
          <w:lang w:eastAsia="en-AU"/>
        </w:rPr>
        <w:t>llowance</w:t>
      </w:r>
      <w:r w:rsidRPr="00BB5D86">
        <w:rPr>
          <w:rFonts w:asciiTheme="minorHAnsi" w:hAnsiTheme="minorHAnsi" w:cstheme="minorHAnsi"/>
          <w:sz w:val="22"/>
          <w:lang w:eastAsia="en-AU"/>
        </w:rPr>
        <w:t xml:space="preserve"> </w:t>
      </w:r>
      <w:r w:rsidR="00682686" w:rsidRPr="00BB5D86">
        <w:rPr>
          <w:rFonts w:asciiTheme="minorHAnsi" w:hAnsiTheme="minorHAnsi" w:cstheme="minorHAnsi"/>
          <w:sz w:val="22"/>
          <w:lang w:eastAsia="en-AU"/>
        </w:rPr>
        <w:t xml:space="preserve">payments, </w:t>
      </w:r>
      <w:r w:rsidRPr="00BB5D86">
        <w:rPr>
          <w:rFonts w:asciiTheme="minorHAnsi" w:hAnsiTheme="minorHAnsi" w:cstheme="minorHAnsi"/>
          <w:sz w:val="22"/>
          <w:lang w:eastAsia="en-AU"/>
        </w:rPr>
        <w:t xml:space="preserve">to ensure that </w:t>
      </w:r>
      <w:r w:rsidR="009C55B3" w:rsidRPr="00BB5D86">
        <w:rPr>
          <w:rFonts w:asciiTheme="minorHAnsi" w:hAnsiTheme="minorHAnsi" w:cstheme="minorHAnsi"/>
          <w:sz w:val="22"/>
          <w:lang w:eastAsia="en-AU"/>
        </w:rPr>
        <w:t xml:space="preserve">people are provided with sufficient money </w:t>
      </w:r>
      <w:r w:rsidR="005D278C">
        <w:rPr>
          <w:rFonts w:asciiTheme="minorHAnsi" w:hAnsiTheme="minorHAnsi" w:cstheme="minorHAnsi"/>
          <w:sz w:val="22"/>
          <w:lang w:eastAsia="en-AU"/>
        </w:rPr>
        <w:t>to</w:t>
      </w:r>
      <w:r w:rsidR="009C55B3" w:rsidRPr="00BB5D86">
        <w:rPr>
          <w:rFonts w:asciiTheme="minorHAnsi" w:hAnsiTheme="minorHAnsi" w:cstheme="minorHAnsi"/>
          <w:sz w:val="22"/>
          <w:lang w:eastAsia="en-AU"/>
        </w:rPr>
        <w:t xml:space="preserve"> </w:t>
      </w:r>
      <w:r w:rsidR="007D3209" w:rsidRPr="00BB5D86">
        <w:rPr>
          <w:rFonts w:asciiTheme="minorHAnsi" w:hAnsiTheme="minorHAnsi" w:cstheme="minorHAnsi"/>
          <w:sz w:val="22"/>
          <w:lang w:eastAsia="en-AU"/>
        </w:rPr>
        <w:t xml:space="preserve">meet basic costs of living and of </w:t>
      </w:r>
      <w:r w:rsidR="00912BB7" w:rsidRPr="00BB5D86">
        <w:rPr>
          <w:rFonts w:asciiTheme="minorHAnsi" w:hAnsiTheme="minorHAnsi" w:cstheme="minorHAnsi"/>
          <w:sz w:val="22"/>
          <w:lang w:eastAsia="en-AU"/>
        </w:rPr>
        <w:t>looking for work</w:t>
      </w:r>
      <w:r w:rsidR="009C55B3" w:rsidRPr="00BB5D86">
        <w:rPr>
          <w:rFonts w:asciiTheme="minorHAnsi" w:hAnsiTheme="minorHAnsi" w:cstheme="minorHAnsi"/>
          <w:sz w:val="22"/>
          <w:lang w:eastAsia="en-AU"/>
        </w:rPr>
        <w:t>.</w:t>
      </w:r>
      <w:r w:rsidR="0046232D" w:rsidRPr="00BB5D86">
        <w:rPr>
          <w:rFonts w:asciiTheme="minorHAnsi" w:hAnsiTheme="minorHAnsi" w:cstheme="minorHAnsi"/>
          <w:sz w:val="22"/>
          <w:lang w:eastAsia="en-AU"/>
        </w:rPr>
        <w:t xml:space="preserve"> The Henry Tax Review highlighted indexation as a critically important feature, and supported a regular review of indexation arrangements. </w:t>
      </w:r>
      <w:r w:rsidR="00BC2BDF" w:rsidRPr="00BB5D86">
        <w:rPr>
          <w:rFonts w:asciiTheme="minorHAnsi" w:hAnsiTheme="minorHAnsi" w:cstheme="minorHAnsi"/>
          <w:sz w:val="22"/>
          <w:lang w:eastAsia="en-AU"/>
        </w:rPr>
        <w:t xml:space="preserve"> </w:t>
      </w:r>
    </w:p>
    <w:p w:rsidR="004A4DA0" w:rsidRPr="00BB5D86" w:rsidRDefault="004A4DA0" w:rsidP="00473914">
      <w:pPr>
        <w:jc w:val="both"/>
        <w:rPr>
          <w:rFonts w:asciiTheme="minorHAnsi" w:hAnsiTheme="minorHAnsi" w:cstheme="minorHAnsi"/>
          <w:sz w:val="22"/>
          <w:lang w:eastAsia="en-AU"/>
        </w:rPr>
      </w:pPr>
    </w:p>
    <w:p w:rsidR="009B5623" w:rsidRPr="00BB5D86" w:rsidRDefault="009B5623" w:rsidP="009B5623">
      <w:pPr>
        <w:jc w:val="both"/>
        <w:rPr>
          <w:rFonts w:asciiTheme="minorHAnsi" w:hAnsiTheme="minorHAnsi" w:cstheme="minorHAnsi"/>
          <w:sz w:val="22"/>
          <w:lang w:eastAsia="en-AU"/>
        </w:rPr>
      </w:pPr>
      <w:r w:rsidRPr="00BB5D86">
        <w:rPr>
          <w:rFonts w:asciiTheme="minorHAnsi" w:hAnsiTheme="minorHAnsi" w:cstheme="minorHAnsi"/>
          <w:sz w:val="22"/>
          <w:lang w:eastAsia="en-AU"/>
        </w:rPr>
        <w:t>The Harmer Pension Review noted that the single Age Pension has risen by 20% over the previous decade, whereas the Newstart Allowance – which is linked only to the Consumer Price Index – rose by less than 0.5%.</w:t>
      </w:r>
      <w:r w:rsidRPr="00BB5D86">
        <w:rPr>
          <w:rStyle w:val="FootnoteReference"/>
          <w:rFonts w:asciiTheme="minorHAnsi" w:hAnsiTheme="minorHAnsi" w:cstheme="minorHAnsi"/>
          <w:sz w:val="22"/>
          <w:lang w:eastAsia="en-AU"/>
        </w:rPr>
        <w:footnoteReference w:id="7"/>
      </w:r>
    </w:p>
    <w:p w:rsidR="009470A4" w:rsidRPr="00BB5D86" w:rsidRDefault="009470A4" w:rsidP="00473914">
      <w:pPr>
        <w:jc w:val="both"/>
        <w:rPr>
          <w:rFonts w:asciiTheme="minorHAnsi" w:hAnsiTheme="minorHAnsi" w:cstheme="minorHAnsi"/>
          <w:sz w:val="22"/>
          <w:lang w:eastAsia="en-AU"/>
        </w:rPr>
      </w:pPr>
    </w:p>
    <w:p w:rsidR="00FB0A5B" w:rsidRPr="00BB5D86" w:rsidRDefault="00CD6953" w:rsidP="002A0314">
      <w:pPr>
        <w:rPr>
          <w:rFonts w:asciiTheme="minorHAnsi" w:hAnsiTheme="minorHAnsi" w:cstheme="minorHAnsi"/>
          <w:b/>
          <w:sz w:val="22"/>
          <w:lang w:eastAsia="en-AU"/>
        </w:rPr>
      </w:pPr>
      <w:r w:rsidRPr="00BB5D86">
        <w:rPr>
          <w:rFonts w:asciiTheme="minorHAnsi" w:hAnsiTheme="minorHAnsi" w:cstheme="minorHAnsi"/>
          <w:sz w:val="22"/>
          <w:lang w:eastAsia="en-AU"/>
        </w:rPr>
        <w:t xml:space="preserve">The </w:t>
      </w:r>
      <w:r w:rsidR="00FB0A5B" w:rsidRPr="00BB5D86">
        <w:rPr>
          <w:rFonts w:asciiTheme="minorHAnsi" w:hAnsiTheme="minorHAnsi" w:cstheme="minorHAnsi"/>
          <w:sz w:val="22"/>
          <w:lang w:eastAsia="en-AU"/>
        </w:rPr>
        <w:t>indexation of all allowance payments to wage movements in addition to prices</w:t>
      </w:r>
      <w:r w:rsidR="004A4DA0" w:rsidRPr="00BB5D86">
        <w:rPr>
          <w:rFonts w:asciiTheme="minorHAnsi" w:hAnsiTheme="minorHAnsi" w:cstheme="minorHAnsi"/>
          <w:sz w:val="22"/>
          <w:lang w:eastAsia="en-AU"/>
        </w:rPr>
        <w:t>, as we propose,</w:t>
      </w:r>
      <w:r w:rsidR="00FB0A5B" w:rsidRPr="00BB5D86">
        <w:rPr>
          <w:rFonts w:asciiTheme="minorHAnsi" w:hAnsiTheme="minorHAnsi" w:cstheme="minorHAnsi"/>
          <w:sz w:val="22"/>
          <w:lang w:eastAsia="en-AU"/>
        </w:rPr>
        <w:t xml:space="preserve"> will assi</w:t>
      </w:r>
      <w:r w:rsidR="009B5623" w:rsidRPr="00BB5D86">
        <w:rPr>
          <w:rFonts w:asciiTheme="minorHAnsi" w:hAnsiTheme="minorHAnsi" w:cstheme="minorHAnsi"/>
          <w:sz w:val="22"/>
          <w:lang w:eastAsia="en-AU"/>
        </w:rPr>
        <w:t>st in preventing the current $15</w:t>
      </w:r>
      <w:r w:rsidR="00FB0A5B" w:rsidRPr="00BB5D86">
        <w:rPr>
          <w:rFonts w:asciiTheme="minorHAnsi" w:hAnsiTheme="minorHAnsi" w:cstheme="minorHAnsi"/>
          <w:sz w:val="22"/>
          <w:lang w:eastAsia="en-AU"/>
        </w:rPr>
        <w:t>0 per week gap between pensions and allowances from rising in an unsustainable manner</w:t>
      </w:r>
      <w:r w:rsidR="00FB0A5B" w:rsidRPr="00BB5D86">
        <w:rPr>
          <w:rFonts w:asciiTheme="minorHAnsi" w:hAnsiTheme="minorHAnsi" w:cstheme="minorHAnsi"/>
          <w:color w:val="auto"/>
          <w:sz w:val="22"/>
          <w:lang w:eastAsia="en-AU"/>
        </w:rPr>
        <w:t>.</w:t>
      </w:r>
      <w:r w:rsidR="00FB0A5B" w:rsidRPr="00BB5D86">
        <w:rPr>
          <w:rFonts w:asciiTheme="minorHAnsi" w:hAnsiTheme="minorHAnsi" w:cstheme="minorHAnsi"/>
          <w:b/>
          <w:sz w:val="22"/>
          <w:lang w:eastAsia="en-AU"/>
        </w:rPr>
        <w:t xml:space="preserve">  </w:t>
      </w:r>
    </w:p>
    <w:p w:rsidR="00FB0A5B" w:rsidRPr="00BB5D86" w:rsidRDefault="00FB0A5B" w:rsidP="00FB0A5B">
      <w:pPr>
        <w:jc w:val="both"/>
        <w:rPr>
          <w:rFonts w:asciiTheme="minorHAnsi" w:hAnsiTheme="minorHAnsi" w:cstheme="minorHAnsi"/>
          <w:color w:val="auto"/>
          <w:sz w:val="22"/>
          <w:lang w:eastAsia="en-AU"/>
        </w:rPr>
      </w:pPr>
    </w:p>
    <w:p w:rsidR="00B52A03" w:rsidRPr="00BB5D86" w:rsidRDefault="009B5623" w:rsidP="00473914">
      <w:pPr>
        <w:jc w:val="both"/>
        <w:rPr>
          <w:rFonts w:asciiTheme="minorHAnsi" w:hAnsiTheme="minorHAnsi" w:cstheme="minorHAnsi"/>
          <w:sz w:val="22"/>
          <w:lang w:eastAsia="en-AU"/>
        </w:rPr>
      </w:pPr>
      <w:r w:rsidRPr="00BB5D86">
        <w:rPr>
          <w:rFonts w:asciiTheme="minorHAnsi" w:hAnsiTheme="minorHAnsi" w:cstheme="minorHAnsi"/>
          <w:sz w:val="22"/>
          <w:lang w:eastAsia="en-AU"/>
        </w:rPr>
        <w:t xml:space="preserve">The </w:t>
      </w:r>
      <w:r w:rsidR="0046232D" w:rsidRPr="00BB5D86">
        <w:rPr>
          <w:rFonts w:asciiTheme="minorHAnsi" w:hAnsiTheme="minorHAnsi" w:cstheme="minorHAnsi"/>
          <w:sz w:val="22"/>
          <w:lang w:eastAsia="en-AU"/>
        </w:rPr>
        <w:t>existing</w:t>
      </w:r>
      <w:r w:rsidR="00524E6D" w:rsidRPr="00BB5D86">
        <w:rPr>
          <w:rFonts w:asciiTheme="minorHAnsi" w:hAnsiTheme="minorHAnsi" w:cstheme="minorHAnsi"/>
          <w:sz w:val="22"/>
          <w:lang w:eastAsia="en-AU"/>
        </w:rPr>
        <w:t xml:space="preserve"> indexation arrangements </w:t>
      </w:r>
      <w:r w:rsidRPr="00BB5D86">
        <w:rPr>
          <w:rFonts w:asciiTheme="minorHAnsi" w:hAnsiTheme="minorHAnsi" w:cstheme="minorHAnsi"/>
          <w:sz w:val="22"/>
          <w:lang w:eastAsia="en-AU"/>
        </w:rPr>
        <w:t>for</w:t>
      </w:r>
      <w:r w:rsidR="00524E6D" w:rsidRPr="00BB5D86">
        <w:rPr>
          <w:rFonts w:asciiTheme="minorHAnsi" w:hAnsiTheme="minorHAnsi" w:cstheme="minorHAnsi"/>
          <w:sz w:val="22"/>
          <w:lang w:eastAsia="en-AU"/>
        </w:rPr>
        <w:t xml:space="preserve"> Age Pensioners flow on to other groups of pension recipients</w:t>
      </w:r>
      <w:r w:rsidRPr="00BB5D86">
        <w:rPr>
          <w:rFonts w:asciiTheme="minorHAnsi" w:hAnsiTheme="minorHAnsi" w:cstheme="minorHAnsi"/>
          <w:sz w:val="22"/>
          <w:lang w:eastAsia="en-AU"/>
        </w:rPr>
        <w:t>, including</w:t>
      </w:r>
      <w:r w:rsidR="00B52A03" w:rsidRPr="00BB5D86">
        <w:rPr>
          <w:rFonts w:asciiTheme="minorHAnsi" w:hAnsiTheme="minorHAnsi" w:cstheme="minorHAnsi"/>
          <w:sz w:val="22"/>
          <w:lang w:eastAsia="en-AU"/>
        </w:rPr>
        <w:t xml:space="preserve"> Veteran’s pensions</w:t>
      </w:r>
      <w:r w:rsidR="00CD6953" w:rsidRPr="00BB5D86">
        <w:rPr>
          <w:rFonts w:asciiTheme="minorHAnsi" w:hAnsiTheme="minorHAnsi" w:cstheme="minorHAnsi"/>
          <w:sz w:val="22"/>
          <w:lang w:eastAsia="en-AU"/>
        </w:rPr>
        <w:t xml:space="preserve">, </w:t>
      </w:r>
      <w:r w:rsidRPr="00BB5D86">
        <w:rPr>
          <w:rFonts w:asciiTheme="minorHAnsi" w:hAnsiTheme="minorHAnsi" w:cstheme="minorHAnsi"/>
          <w:sz w:val="22"/>
          <w:lang w:eastAsia="en-AU"/>
        </w:rPr>
        <w:t xml:space="preserve">the </w:t>
      </w:r>
      <w:r w:rsidR="00CD6953" w:rsidRPr="00BB5D86">
        <w:rPr>
          <w:rFonts w:asciiTheme="minorHAnsi" w:hAnsiTheme="minorHAnsi" w:cstheme="minorHAnsi"/>
          <w:sz w:val="22"/>
          <w:lang w:eastAsia="en-AU"/>
        </w:rPr>
        <w:t>Disability Support Pensions and Carer Payments</w:t>
      </w:r>
      <w:r w:rsidR="00B52A03" w:rsidRPr="00BB5D86">
        <w:rPr>
          <w:rFonts w:asciiTheme="minorHAnsi" w:hAnsiTheme="minorHAnsi" w:cstheme="minorHAnsi"/>
          <w:sz w:val="22"/>
          <w:lang w:eastAsia="en-AU"/>
        </w:rPr>
        <w:t xml:space="preserve">. </w:t>
      </w:r>
    </w:p>
    <w:p w:rsidR="00B52A03" w:rsidRPr="00BB5D86" w:rsidRDefault="00B52A03" w:rsidP="00473914">
      <w:pPr>
        <w:jc w:val="both"/>
        <w:rPr>
          <w:rFonts w:asciiTheme="minorHAnsi" w:hAnsiTheme="minorHAnsi" w:cstheme="minorHAnsi"/>
          <w:sz w:val="22"/>
          <w:lang w:eastAsia="en-AU"/>
        </w:rPr>
      </w:pPr>
    </w:p>
    <w:p w:rsidR="00852F05" w:rsidRPr="00BB5D86" w:rsidRDefault="0025025E" w:rsidP="00852F05">
      <w:pPr>
        <w:jc w:val="both"/>
        <w:rPr>
          <w:rFonts w:asciiTheme="minorHAnsi" w:hAnsiTheme="minorHAnsi" w:cstheme="minorHAnsi"/>
          <w:sz w:val="22"/>
          <w:lang w:eastAsia="en-AU"/>
        </w:rPr>
      </w:pPr>
      <w:r w:rsidRPr="00BB5D86">
        <w:rPr>
          <w:rFonts w:asciiTheme="minorHAnsi" w:hAnsiTheme="minorHAnsi" w:cstheme="minorHAnsi"/>
          <w:sz w:val="22"/>
        </w:rPr>
        <w:t xml:space="preserve">Some have suggested </w:t>
      </w:r>
      <w:r w:rsidR="00524E6D" w:rsidRPr="00BB5D86">
        <w:rPr>
          <w:rFonts w:asciiTheme="minorHAnsi" w:hAnsiTheme="minorHAnsi" w:cstheme="minorHAnsi"/>
          <w:sz w:val="22"/>
        </w:rPr>
        <w:t xml:space="preserve">winding back existing indexation </w:t>
      </w:r>
      <w:r w:rsidR="00B52A03" w:rsidRPr="00BB5D86">
        <w:rPr>
          <w:rFonts w:asciiTheme="minorHAnsi" w:hAnsiTheme="minorHAnsi" w:cstheme="minorHAnsi"/>
          <w:sz w:val="22"/>
        </w:rPr>
        <w:t>arrangements</w:t>
      </w:r>
      <w:r w:rsidR="00524E6D" w:rsidRPr="00BB5D86">
        <w:rPr>
          <w:rFonts w:asciiTheme="minorHAnsi" w:hAnsiTheme="minorHAnsi" w:cstheme="minorHAnsi"/>
          <w:sz w:val="22"/>
        </w:rPr>
        <w:t xml:space="preserve"> for pensions</w:t>
      </w:r>
      <w:r w:rsidR="00CD6953" w:rsidRPr="00BB5D86">
        <w:rPr>
          <w:rFonts w:asciiTheme="minorHAnsi" w:hAnsiTheme="minorHAnsi" w:cstheme="minorHAnsi"/>
          <w:sz w:val="22"/>
        </w:rPr>
        <w:t xml:space="preserve"> </w:t>
      </w:r>
      <w:r w:rsidR="00B52A03" w:rsidRPr="00BB5D86">
        <w:rPr>
          <w:rFonts w:asciiTheme="minorHAnsi" w:hAnsiTheme="minorHAnsi" w:cstheme="minorHAnsi"/>
          <w:sz w:val="22"/>
        </w:rPr>
        <w:t>or fre</w:t>
      </w:r>
      <w:r w:rsidR="00524E6D" w:rsidRPr="00BB5D86">
        <w:rPr>
          <w:rFonts w:asciiTheme="minorHAnsi" w:hAnsiTheme="minorHAnsi" w:cstheme="minorHAnsi"/>
          <w:sz w:val="22"/>
        </w:rPr>
        <w:t>ezing</w:t>
      </w:r>
      <w:r w:rsidR="00B52A03" w:rsidRPr="00BB5D86">
        <w:rPr>
          <w:rFonts w:asciiTheme="minorHAnsi" w:hAnsiTheme="minorHAnsi" w:cstheme="minorHAnsi"/>
          <w:sz w:val="22"/>
        </w:rPr>
        <w:t xml:space="preserve"> payments (either temporarily or permanen</w:t>
      </w:r>
      <w:r w:rsidR="00524E6D" w:rsidRPr="00BB5D86">
        <w:rPr>
          <w:rFonts w:asciiTheme="minorHAnsi" w:hAnsiTheme="minorHAnsi" w:cstheme="minorHAnsi"/>
          <w:sz w:val="22"/>
        </w:rPr>
        <w:t>tly)</w:t>
      </w:r>
      <w:r w:rsidR="00B52A03" w:rsidRPr="00BB5D86">
        <w:rPr>
          <w:rFonts w:asciiTheme="minorHAnsi" w:hAnsiTheme="minorHAnsi" w:cstheme="minorHAnsi"/>
          <w:sz w:val="22"/>
        </w:rPr>
        <w:t>.</w:t>
      </w:r>
      <w:r w:rsidR="00CD6953" w:rsidRPr="00BB5D86">
        <w:rPr>
          <w:rFonts w:asciiTheme="minorHAnsi" w:hAnsiTheme="minorHAnsi" w:cstheme="minorHAnsi"/>
          <w:sz w:val="22"/>
        </w:rPr>
        <w:t xml:space="preserve"> The NWRN does not support such suggestions</w:t>
      </w:r>
      <w:r w:rsidR="009B5623" w:rsidRPr="00BB5D86">
        <w:rPr>
          <w:rFonts w:asciiTheme="minorHAnsi" w:hAnsiTheme="minorHAnsi" w:cstheme="minorHAnsi"/>
          <w:sz w:val="22"/>
          <w:lang w:eastAsia="en-AU"/>
        </w:rPr>
        <w:t xml:space="preserve"> and we oppose “decoupling” the Disability Support Pension from the existing indexation arrangements.</w:t>
      </w:r>
      <w:r w:rsidR="00CD6953" w:rsidRPr="00BB5D86">
        <w:rPr>
          <w:rFonts w:asciiTheme="minorHAnsi" w:hAnsiTheme="minorHAnsi" w:cstheme="minorHAnsi"/>
          <w:sz w:val="22"/>
        </w:rPr>
        <w:t xml:space="preserve">  </w:t>
      </w:r>
      <w:r w:rsidR="009B5623" w:rsidRPr="00BB5D86">
        <w:rPr>
          <w:rFonts w:asciiTheme="minorHAnsi" w:hAnsiTheme="minorHAnsi" w:cstheme="minorHAnsi"/>
          <w:sz w:val="22"/>
          <w:lang w:eastAsia="en-AU"/>
        </w:rPr>
        <w:t>NWRN considers that the</w:t>
      </w:r>
      <w:r w:rsidR="00852F05" w:rsidRPr="00BB5D86">
        <w:rPr>
          <w:rFonts w:asciiTheme="minorHAnsi" w:hAnsiTheme="minorHAnsi" w:cstheme="minorHAnsi"/>
          <w:sz w:val="22"/>
          <w:lang w:eastAsia="en-AU"/>
        </w:rPr>
        <w:t xml:space="preserve"> suggestion that income support payments should </w:t>
      </w:r>
      <w:r w:rsidR="009B5623" w:rsidRPr="00BB5D86">
        <w:rPr>
          <w:rFonts w:asciiTheme="minorHAnsi" w:hAnsiTheme="minorHAnsi" w:cstheme="minorHAnsi"/>
          <w:sz w:val="22"/>
          <w:lang w:eastAsia="en-AU"/>
        </w:rPr>
        <w:t xml:space="preserve">no longer </w:t>
      </w:r>
      <w:r w:rsidR="00852F05" w:rsidRPr="00BB5D86">
        <w:rPr>
          <w:rFonts w:asciiTheme="minorHAnsi" w:hAnsiTheme="minorHAnsi" w:cstheme="minorHAnsi"/>
          <w:sz w:val="22"/>
          <w:lang w:eastAsia="en-AU"/>
        </w:rPr>
        <w:t xml:space="preserve">be indexed to the </w:t>
      </w:r>
      <w:r w:rsidR="009B5623" w:rsidRPr="00BB5D86">
        <w:rPr>
          <w:rFonts w:asciiTheme="minorHAnsi" w:hAnsiTheme="minorHAnsi" w:cstheme="minorHAnsi"/>
          <w:sz w:val="22"/>
          <w:lang w:eastAsia="en-AU"/>
        </w:rPr>
        <w:lastRenderedPageBreak/>
        <w:t>Consumer Price Index</w:t>
      </w:r>
      <w:r w:rsidR="00816DDB">
        <w:rPr>
          <w:rFonts w:asciiTheme="minorHAnsi" w:hAnsiTheme="minorHAnsi" w:cstheme="minorHAnsi"/>
          <w:sz w:val="22"/>
          <w:lang w:eastAsia="en-AU"/>
        </w:rPr>
        <w:t xml:space="preserve"> (let alone the better arrangements that we suggest)</w:t>
      </w:r>
      <w:r w:rsidR="009B5623" w:rsidRPr="00BB5D86">
        <w:rPr>
          <w:rFonts w:asciiTheme="minorHAnsi" w:hAnsiTheme="minorHAnsi" w:cstheme="minorHAnsi"/>
          <w:sz w:val="22"/>
          <w:lang w:eastAsia="en-AU"/>
        </w:rPr>
        <w:t xml:space="preserve"> </w:t>
      </w:r>
      <w:r w:rsidR="00852F05" w:rsidRPr="00BB5D86">
        <w:rPr>
          <w:rFonts w:asciiTheme="minorHAnsi" w:hAnsiTheme="minorHAnsi" w:cstheme="minorHAnsi"/>
          <w:sz w:val="22"/>
          <w:lang w:eastAsia="en-AU"/>
        </w:rPr>
        <w:t xml:space="preserve">betrays a breathtaking lack of understanding of the circumstances of those attempting to survive on </w:t>
      </w:r>
      <w:r w:rsidR="009B5623" w:rsidRPr="00BB5D86">
        <w:rPr>
          <w:rFonts w:asciiTheme="minorHAnsi" w:hAnsiTheme="minorHAnsi" w:cstheme="minorHAnsi"/>
          <w:sz w:val="22"/>
          <w:lang w:eastAsia="en-AU"/>
        </w:rPr>
        <w:t>very modest</w:t>
      </w:r>
      <w:r w:rsidR="00852F05" w:rsidRPr="00BB5D86">
        <w:rPr>
          <w:rFonts w:asciiTheme="minorHAnsi" w:hAnsiTheme="minorHAnsi" w:cstheme="minorHAnsi"/>
          <w:sz w:val="22"/>
          <w:lang w:eastAsia="en-AU"/>
        </w:rPr>
        <w:t xml:space="preserve"> </w:t>
      </w:r>
      <w:r w:rsidR="009B5623" w:rsidRPr="00BB5D86">
        <w:rPr>
          <w:rFonts w:asciiTheme="minorHAnsi" w:hAnsiTheme="minorHAnsi" w:cstheme="minorHAnsi"/>
          <w:sz w:val="22"/>
          <w:lang w:eastAsia="en-AU"/>
        </w:rPr>
        <w:t xml:space="preserve">social security </w:t>
      </w:r>
      <w:r w:rsidR="00852F05" w:rsidRPr="00BB5D86">
        <w:rPr>
          <w:rFonts w:asciiTheme="minorHAnsi" w:hAnsiTheme="minorHAnsi" w:cstheme="minorHAnsi"/>
          <w:sz w:val="22"/>
          <w:lang w:eastAsia="en-AU"/>
        </w:rPr>
        <w:t>payment</w:t>
      </w:r>
      <w:r w:rsidR="009B5623" w:rsidRPr="00BB5D86">
        <w:rPr>
          <w:rFonts w:asciiTheme="minorHAnsi" w:hAnsiTheme="minorHAnsi" w:cstheme="minorHAnsi"/>
          <w:sz w:val="22"/>
          <w:lang w:eastAsia="en-AU"/>
        </w:rPr>
        <w:t>s</w:t>
      </w:r>
      <w:r w:rsidR="00852F05" w:rsidRPr="00BB5D86">
        <w:rPr>
          <w:rFonts w:asciiTheme="minorHAnsi" w:hAnsiTheme="minorHAnsi" w:cstheme="minorHAnsi"/>
          <w:sz w:val="22"/>
          <w:lang w:eastAsia="en-AU"/>
        </w:rPr>
        <w:t xml:space="preserve">. </w:t>
      </w:r>
    </w:p>
    <w:p w:rsidR="00852F05" w:rsidRPr="00BB5D86" w:rsidRDefault="00852F05" w:rsidP="00852F05">
      <w:pPr>
        <w:jc w:val="both"/>
        <w:rPr>
          <w:rFonts w:asciiTheme="minorHAnsi" w:hAnsiTheme="minorHAnsi" w:cstheme="minorHAnsi"/>
          <w:sz w:val="22"/>
          <w:lang w:eastAsia="en-AU"/>
        </w:rPr>
      </w:pPr>
    </w:p>
    <w:p w:rsidR="009C55B3" w:rsidRPr="00BB5D86" w:rsidRDefault="009C55B3" w:rsidP="00473914">
      <w:pPr>
        <w:jc w:val="both"/>
        <w:rPr>
          <w:rFonts w:asciiTheme="minorHAnsi" w:hAnsiTheme="minorHAnsi" w:cstheme="minorHAnsi"/>
          <w:color w:val="auto"/>
          <w:sz w:val="22"/>
          <w:lang w:eastAsia="en-AU"/>
        </w:rPr>
      </w:pPr>
    </w:p>
    <w:p w:rsidR="00852F05" w:rsidRPr="00BB5D86" w:rsidRDefault="00852F05" w:rsidP="00D35273">
      <w:pPr>
        <w:pBdr>
          <w:top w:val="single" w:sz="4" w:space="1" w:color="auto"/>
          <w:left w:val="single" w:sz="4" w:space="4" w:color="auto"/>
          <w:bottom w:val="single" w:sz="4" w:space="0" w:color="auto"/>
          <w:right w:val="single" w:sz="4" w:space="4" w:color="auto"/>
        </w:pBdr>
        <w:autoSpaceDE w:val="0"/>
        <w:autoSpaceDN w:val="0"/>
        <w:adjustRightInd w:val="0"/>
        <w:rPr>
          <w:rFonts w:asciiTheme="minorHAnsi" w:eastAsia="Times New Roman" w:hAnsiTheme="minorHAnsi" w:cstheme="minorHAnsi"/>
          <w:b/>
          <w:color w:val="auto"/>
          <w:sz w:val="22"/>
          <w:lang w:eastAsia="en-AU"/>
        </w:rPr>
      </w:pPr>
      <w:r w:rsidRPr="00BB5D86">
        <w:rPr>
          <w:rFonts w:asciiTheme="minorHAnsi" w:eastAsia="Times New Roman" w:hAnsiTheme="minorHAnsi" w:cstheme="minorHAnsi"/>
          <w:b/>
          <w:color w:val="auto"/>
          <w:sz w:val="22"/>
          <w:lang w:eastAsia="en-AU"/>
        </w:rPr>
        <w:t>Recommendation</w:t>
      </w:r>
      <w:r w:rsidR="00D35273">
        <w:rPr>
          <w:rFonts w:asciiTheme="minorHAnsi" w:eastAsia="Times New Roman" w:hAnsiTheme="minorHAnsi" w:cstheme="minorHAnsi"/>
          <w:b/>
          <w:color w:val="auto"/>
          <w:sz w:val="22"/>
          <w:lang w:eastAsia="en-AU"/>
        </w:rPr>
        <w:t xml:space="preserve"> #</w:t>
      </w:r>
      <w:r w:rsidR="000966B1">
        <w:rPr>
          <w:rFonts w:asciiTheme="minorHAnsi" w:eastAsia="Times New Roman" w:hAnsiTheme="minorHAnsi" w:cstheme="minorHAnsi"/>
          <w:b/>
          <w:color w:val="auto"/>
          <w:sz w:val="22"/>
          <w:lang w:eastAsia="en-AU"/>
        </w:rPr>
        <w:t>3</w:t>
      </w:r>
      <w:r w:rsidRPr="00BB5D86">
        <w:rPr>
          <w:rFonts w:asciiTheme="minorHAnsi" w:eastAsia="Times New Roman" w:hAnsiTheme="minorHAnsi" w:cstheme="minorHAnsi"/>
          <w:b/>
          <w:color w:val="auto"/>
          <w:sz w:val="22"/>
          <w:lang w:eastAsia="en-AU"/>
        </w:rPr>
        <w:t xml:space="preserve">: </w:t>
      </w:r>
      <w:r w:rsidRPr="000966B1">
        <w:rPr>
          <w:rFonts w:asciiTheme="minorHAnsi" w:eastAsia="Times New Roman" w:hAnsiTheme="minorHAnsi" w:cstheme="minorHAnsi"/>
          <w:color w:val="auto"/>
          <w:sz w:val="22"/>
          <w:lang w:eastAsia="en-AU"/>
        </w:rPr>
        <w:t xml:space="preserve">From </w:t>
      </w:r>
      <w:r w:rsidR="00807C6F">
        <w:rPr>
          <w:rFonts w:asciiTheme="minorHAnsi" w:eastAsia="Times New Roman" w:hAnsiTheme="minorHAnsi" w:cstheme="minorHAnsi"/>
          <w:color w:val="auto"/>
          <w:sz w:val="22"/>
          <w:lang w:eastAsia="en-AU"/>
        </w:rPr>
        <w:t>March</w:t>
      </w:r>
      <w:r w:rsidR="00807C6F" w:rsidRPr="000966B1">
        <w:rPr>
          <w:rFonts w:asciiTheme="minorHAnsi" w:eastAsia="Times New Roman" w:hAnsiTheme="minorHAnsi" w:cstheme="minorHAnsi"/>
          <w:color w:val="auto"/>
          <w:sz w:val="22"/>
          <w:lang w:eastAsia="en-AU"/>
        </w:rPr>
        <w:t xml:space="preserve"> </w:t>
      </w:r>
      <w:r w:rsidRPr="000966B1">
        <w:rPr>
          <w:rFonts w:asciiTheme="minorHAnsi" w:eastAsia="Times New Roman" w:hAnsiTheme="minorHAnsi" w:cstheme="minorHAnsi"/>
          <w:color w:val="auto"/>
          <w:sz w:val="22"/>
          <w:lang w:eastAsia="en-AU"/>
        </w:rPr>
        <w:t>201</w:t>
      </w:r>
      <w:r w:rsidR="00807C6F">
        <w:rPr>
          <w:rFonts w:asciiTheme="minorHAnsi" w:eastAsia="Times New Roman" w:hAnsiTheme="minorHAnsi" w:cstheme="minorHAnsi"/>
          <w:color w:val="auto"/>
          <w:sz w:val="22"/>
          <w:lang w:eastAsia="en-AU"/>
        </w:rPr>
        <w:t>5</w:t>
      </w:r>
      <w:r w:rsidRPr="000966B1">
        <w:rPr>
          <w:rFonts w:asciiTheme="minorHAnsi" w:eastAsia="Times New Roman" w:hAnsiTheme="minorHAnsi" w:cstheme="minorHAnsi"/>
          <w:color w:val="auto"/>
          <w:sz w:val="22"/>
          <w:lang w:eastAsia="en-AU"/>
        </w:rPr>
        <w:t xml:space="preserve"> all allowance and related payments (including </w:t>
      </w:r>
      <w:proofErr w:type="spellStart"/>
      <w:r w:rsidRPr="000966B1">
        <w:rPr>
          <w:rFonts w:asciiTheme="minorHAnsi" w:eastAsia="Times New Roman" w:hAnsiTheme="minorHAnsi" w:cstheme="minorHAnsi"/>
          <w:color w:val="auto"/>
          <w:sz w:val="22"/>
          <w:lang w:eastAsia="en-AU"/>
        </w:rPr>
        <w:t>Austudy</w:t>
      </w:r>
      <w:proofErr w:type="spellEnd"/>
      <w:r w:rsidRPr="000966B1">
        <w:rPr>
          <w:rFonts w:asciiTheme="minorHAnsi" w:eastAsia="Times New Roman" w:hAnsiTheme="minorHAnsi" w:cstheme="minorHAnsi"/>
          <w:color w:val="auto"/>
          <w:sz w:val="22"/>
          <w:lang w:eastAsia="en-AU"/>
        </w:rPr>
        <w:t>, ABSTUDY, Special Benefit) should be indexed six monthly to movements in wages.</w:t>
      </w:r>
    </w:p>
    <w:p w:rsidR="00852F05" w:rsidRPr="00BB5D86" w:rsidRDefault="00852F05" w:rsidP="00EE3A95">
      <w:pPr>
        <w:jc w:val="both"/>
        <w:rPr>
          <w:rFonts w:asciiTheme="minorHAnsi" w:hAnsiTheme="minorHAnsi" w:cstheme="minorHAnsi"/>
          <w:b/>
          <w:color w:val="17365D" w:themeColor="text2" w:themeShade="BF"/>
          <w:sz w:val="22"/>
          <w:lang w:eastAsia="en-A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F32B7" w:rsidRPr="00BB5D86" w:rsidRDefault="00D63E8A" w:rsidP="00012394">
      <w:pPr>
        <w:pStyle w:val="Heading3"/>
      </w:pPr>
      <w:bookmarkStart w:id="7" w:name="_Toc379199683"/>
      <w:r>
        <w:t>Increase investment in employment assistance</w:t>
      </w:r>
      <w:bookmarkEnd w:id="7"/>
    </w:p>
    <w:p w:rsidR="00EE3A95" w:rsidRPr="00BB5D86" w:rsidRDefault="00EE3A95" w:rsidP="00EE3A95">
      <w:pPr>
        <w:jc w:val="both"/>
        <w:rPr>
          <w:rFonts w:asciiTheme="minorHAnsi" w:hAnsiTheme="minorHAnsi" w:cstheme="minorHAnsi"/>
          <w:b/>
          <w:color w:val="17365D" w:themeColor="text2" w:themeShade="BF"/>
          <w:sz w:val="22"/>
          <w:lang w:eastAsia="en-A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25EFA" w:rsidRPr="00BB5D86" w:rsidRDefault="002702F5" w:rsidP="00725EFA">
      <w:pPr>
        <w:pStyle w:val="NormalWeb"/>
        <w:rPr>
          <w:rFonts w:asciiTheme="minorHAnsi" w:hAnsiTheme="minorHAnsi" w:cstheme="minorHAnsi"/>
          <w:sz w:val="22"/>
        </w:rPr>
      </w:pPr>
      <w:r w:rsidRPr="00BB5D86">
        <w:rPr>
          <w:rFonts w:asciiTheme="minorHAnsi" w:hAnsiTheme="minorHAnsi" w:cstheme="minorHAnsi"/>
          <w:sz w:val="22"/>
        </w:rPr>
        <w:t>The De</w:t>
      </w:r>
      <w:r w:rsidR="002A0314" w:rsidRPr="00BB5D86">
        <w:rPr>
          <w:rFonts w:asciiTheme="minorHAnsi" w:hAnsiTheme="minorHAnsi" w:cstheme="minorHAnsi"/>
          <w:sz w:val="22"/>
        </w:rPr>
        <w:t>partment of Employment publishes</w:t>
      </w:r>
      <w:r w:rsidRPr="00BB5D86">
        <w:rPr>
          <w:rFonts w:asciiTheme="minorHAnsi" w:hAnsiTheme="minorHAnsi" w:cstheme="minorHAnsi"/>
          <w:sz w:val="22"/>
        </w:rPr>
        <w:t xml:space="preserve"> employment and education outcomes for people seeking assistance from Job Services Australia, Disability Employment Services and Indigenous Employment Programs.</w:t>
      </w:r>
      <w:r w:rsidRPr="00BB5D86">
        <w:rPr>
          <w:rStyle w:val="FootnoteReference"/>
          <w:rFonts w:asciiTheme="minorHAnsi" w:hAnsiTheme="minorHAnsi" w:cstheme="minorHAnsi"/>
          <w:sz w:val="22"/>
        </w:rPr>
        <w:footnoteReference w:id="8"/>
      </w:r>
      <w:r w:rsidRPr="00BB5D86">
        <w:rPr>
          <w:rFonts w:asciiTheme="minorHAnsi" w:hAnsiTheme="minorHAnsi" w:cstheme="minorHAnsi"/>
          <w:sz w:val="22"/>
        </w:rPr>
        <w:t xml:space="preserve"> </w:t>
      </w:r>
      <w:r w:rsidR="00816DDB">
        <w:rPr>
          <w:rFonts w:asciiTheme="minorHAnsi" w:hAnsiTheme="minorHAnsi" w:cstheme="minorHAnsi"/>
          <w:sz w:val="22"/>
        </w:rPr>
        <w:t>An a</w:t>
      </w:r>
      <w:r w:rsidRPr="00BB5D86">
        <w:rPr>
          <w:rFonts w:asciiTheme="minorHAnsi" w:hAnsiTheme="minorHAnsi" w:cstheme="minorHAnsi"/>
          <w:sz w:val="22"/>
        </w:rPr>
        <w:t xml:space="preserve">nalysis of quarterly </w:t>
      </w:r>
      <w:r w:rsidR="00725EFA" w:rsidRPr="00BB5D86">
        <w:rPr>
          <w:rFonts w:asciiTheme="minorHAnsi" w:hAnsiTheme="minorHAnsi" w:cstheme="minorHAnsi"/>
          <w:sz w:val="22"/>
        </w:rPr>
        <w:t xml:space="preserve">data for December 2012, March 2013 and June 2013 revealed the proportion of Job Services Australia job seekers who </w:t>
      </w:r>
      <w:r w:rsidRPr="00BB5D86">
        <w:rPr>
          <w:rFonts w:asciiTheme="minorHAnsi" w:hAnsiTheme="minorHAnsi" w:cstheme="minorHAnsi"/>
          <w:sz w:val="22"/>
        </w:rPr>
        <w:t>achieved</w:t>
      </w:r>
      <w:r w:rsidR="00725EFA" w:rsidRPr="00BB5D86">
        <w:rPr>
          <w:rFonts w:asciiTheme="minorHAnsi" w:hAnsiTheme="minorHAnsi" w:cstheme="minorHAnsi"/>
          <w:sz w:val="22"/>
        </w:rPr>
        <w:t xml:space="preserve"> an employment outcome </w:t>
      </w:r>
      <w:r w:rsidRPr="00BB5D86">
        <w:rPr>
          <w:rFonts w:asciiTheme="minorHAnsi" w:hAnsiTheme="minorHAnsi" w:cstheme="minorHAnsi"/>
          <w:sz w:val="22"/>
        </w:rPr>
        <w:t>fell</w:t>
      </w:r>
      <w:r w:rsidR="00725EFA" w:rsidRPr="00BB5D86">
        <w:rPr>
          <w:rFonts w:asciiTheme="minorHAnsi" w:hAnsiTheme="minorHAnsi" w:cstheme="minorHAnsi"/>
          <w:sz w:val="22"/>
        </w:rPr>
        <w:t xml:space="preserve"> by more than 15</w:t>
      </w:r>
      <w:r w:rsidRPr="00BB5D86">
        <w:rPr>
          <w:rFonts w:asciiTheme="minorHAnsi" w:hAnsiTheme="minorHAnsi" w:cstheme="minorHAnsi"/>
          <w:sz w:val="22"/>
        </w:rPr>
        <w:t>%</w:t>
      </w:r>
      <w:r w:rsidR="00725EFA" w:rsidRPr="00BB5D86">
        <w:rPr>
          <w:rFonts w:asciiTheme="minorHAnsi" w:hAnsiTheme="minorHAnsi" w:cstheme="minorHAnsi"/>
          <w:sz w:val="22"/>
        </w:rPr>
        <w:t xml:space="preserve">. In human terms, this meant 75,000 less jobs </w:t>
      </w:r>
      <w:r w:rsidRPr="00BB5D86">
        <w:rPr>
          <w:rFonts w:asciiTheme="minorHAnsi" w:hAnsiTheme="minorHAnsi" w:cstheme="minorHAnsi"/>
          <w:sz w:val="22"/>
        </w:rPr>
        <w:t>for</w:t>
      </w:r>
      <w:r w:rsidR="00725EFA" w:rsidRPr="00BB5D86">
        <w:rPr>
          <w:rFonts w:asciiTheme="minorHAnsi" w:hAnsiTheme="minorHAnsi" w:cstheme="minorHAnsi"/>
          <w:sz w:val="22"/>
        </w:rPr>
        <w:t xml:space="preserve"> people </w:t>
      </w:r>
      <w:r w:rsidRPr="00BB5D86">
        <w:rPr>
          <w:rFonts w:asciiTheme="minorHAnsi" w:hAnsiTheme="minorHAnsi" w:cstheme="minorHAnsi"/>
          <w:sz w:val="22"/>
        </w:rPr>
        <w:t>condemned to extended periods on</w:t>
      </w:r>
      <w:r w:rsidR="00725EFA" w:rsidRPr="00BB5D86">
        <w:rPr>
          <w:rFonts w:asciiTheme="minorHAnsi" w:hAnsiTheme="minorHAnsi" w:cstheme="minorHAnsi"/>
          <w:sz w:val="22"/>
        </w:rPr>
        <w:t xml:space="preserve"> low and inadequate rates o</w:t>
      </w:r>
      <w:r w:rsidR="00D4684F" w:rsidRPr="00BB5D86">
        <w:rPr>
          <w:rFonts w:asciiTheme="minorHAnsi" w:hAnsiTheme="minorHAnsi" w:cstheme="minorHAnsi"/>
          <w:sz w:val="22"/>
        </w:rPr>
        <w:t>f Newstart and Youth Allowance.</w:t>
      </w:r>
    </w:p>
    <w:p w:rsidR="00725EFA" w:rsidRPr="00BB5D86" w:rsidRDefault="00725EFA" w:rsidP="00725EFA">
      <w:pPr>
        <w:pStyle w:val="NormalWeb"/>
        <w:rPr>
          <w:rFonts w:asciiTheme="minorHAnsi" w:hAnsiTheme="minorHAnsi" w:cstheme="minorHAnsi"/>
          <w:sz w:val="22"/>
        </w:rPr>
      </w:pPr>
      <w:r w:rsidRPr="00BB5D86">
        <w:rPr>
          <w:rFonts w:asciiTheme="minorHAnsi" w:hAnsiTheme="minorHAnsi" w:cstheme="minorHAnsi"/>
          <w:sz w:val="22"/>
        </w:rPr>
        <w:t>The number of employment outcomes has in fact been trending down for the past five quarters, but the most significant decline occurred between June 30, 2012 and June 30, 2013.</w:t>
      </w:r>
    </w:p>
    <w:p w:rsidR="005A7980" w:rsidRPr="00BB5D86" w:rsidRDefault="00AF1EDB" w:rsidP="00473914">
      <w:pPr>
        <w:jc w:val="both"/>
        <w:rPr>
          <w:rFonts w:asciiTheme="minorHAnsi" w:hAnsiTheme="minorHAnsi" w:cstheme="minorHAnsi"/>
          <w:sz w:val="22"/>
          <w:lang w:eastAsia="en-AU"/>
        </w:rPr>
      </w:pPr>
      <w:r w:rsidRPr="00BB5D86">
        <w:rPr>
          <w:rFonts w:asciiTheme="minorHAnsi" w:hAnsiTheme="minorHAnsi" w:cstheme="minorHAnsi"/>
          <w:sz w:val="22"/>
          <w:lang w:eastAsia="en-AU"/>
        </w:rPr>
        <w:t xml:space="preserve">Urgent reforms </w:t>
      </w:r>
      <w:r w:rsidR="00DF32B7" w:rsidRPr="00BB5D86">
        <w:rPr>
          <w:rFonts w:asciiTheme="minorHAnsi" w:hAnsiTheme="minorHAnsi" w:cstheme="minorHAnsi"/>
          <w:sz w:val="22"/>
          <w:lang w:eastAsia="en-AU"/>
        </w:rPr>
        <w:t xml:space="preserve">are needed </w:t>
      </w:r>
      <w:r w:rsidR="00F61A1C" w:rsidRPr="00BB5D86">
        <w:rPr>
          <w:rFonts w:asciiTheme="minorHAnsi" w:hAnsiTheme="minorHAnsi" w:cstheme="minorHAnsi"/>
          <w:sz w:val="22"/>
          <w:lang w:eastAsia="en-AU"/>
        </w:rPr>
        <w:t xml:space="preserve">to </w:t>
      </w:r>
      <w:r w:rsidR="00DF32B7" w:rsidRPr="00BB5D86">
        <w:rPr>
          <w:rFonts w:asciiTheme="minorHAnsi" w:hAnsiTheme="minorHAnsi" w:cstheme="minorHAnsi"/>
          <w:sz w:val="22"/>
          <w:lang w:eastAsia="en-AU"/>
        </w:rPr>
        <w:t>strengthen employment assistance for people</w:t>
      </w:r>
      <w:r w:rsidR="00816DDB">
        <w:rPr>
          <w:rFonts w:asciiTheme="minorHAnsi" w:hAnsiTheme="minorHAnsi" w:cstheme="minorHAnsi"/>
          <w:sz w:val="22"/>
          <w:lang w:eastAsia="en-AU"/>
        </w:rPr>
        <w:t xml:space="preserve"> </w:t>
      </w:r>
      <w:r w:rsidR="00FB0A5B" w:rsidRPr="00BB5D86">
        <w:rPr>
          <w:rFonts w:asciiTheme="minorHAnsi" w:hAnsiTheme="minorHAnsi" w:cstheme="minorHAnsi"/>
          <w:sz w:val="22"/>
          <w:lang w:eastAsia="en-AU"/>
        </w:rPr>
        <w:t xml:space="preserve">and </w:t>
      </w:r>
      <w:r w:rsidR="00816DDB">
        <w:rPr>
          <w:rFonts w:asciiTheme="minorHAnsi" w:hAnsiTheme="minorHAnsi" w:cstheme="minorHAnsi"/>
          <w:sz w:val="22"/>
          <w:lang w:eastAsia="en-AU"/>
        </w:rPr>
        <w:t xml:space="preserve">a </w:t>
      </w:r>
      <w:r w:rsidR="00FB0A5B" w:rsidRPr="00BB5D86">
        <w:rPr>
          <w:rFonts w:asciiTheme="minorHAnsi" w:hAnsiTheme="minorHAnsi" w:cstheme="minorHAnsi"/>
          <w:sz w:val="22"/>
          <w:lang w:eastAsia="en-AU"/>
        </w:rPr>
        <w:t xml:space="preserve">priority must be </w:t>
      </w:r>
      <w:r w:rsidR="00DF32B7" w:rsidRPr="00BB5D86">
        <w:rPr>
          <w:rFonts w:asciiTheme="minorHAnsi" w:hAnsiTheme="minorHAnsi" w:cstheme="minorHAnsi"/>
          <w:sz w:val="22"/>
          <w:lang w:eastAsia="en-AU"/>
        </w:rPr>
        <w:t xml:space="preserve">the most disadvantaged job seekers. </w:t>
      </w:r>
      <w:r w:rsidR="005A7980" w:rsidRPr="00BB5D86">
        <w:rPr>
          <w:rFonts w:asciiTheme="minorHAnsi" w:hAnsiTheme="minorHAnsi" w:cstheme="minorHAnsi"/>
          <w:sz w:val="22"/>
          <w:lang w:eastAsia="en-AU"/>
        </w:rPr>
        <w:t>NWRN ha</w:t>
      </w:r>
      <w:r w:rsidR="00816DDB">
        <w:rPr>
          <w:rFonts w:asciiTheme="minorHAnsi" w:hAnsiTheme="minorHAnsi" w:cstheme="minorHAnsi"/>
          <w:sz w:val="22"/>
          <w:lang w:eastAsia="en-AU"/>
        </w:rPr>
        <w:t>s</w:t>
      </w:r>
      <w:r w:rsidR="005A7980" w:rsidRPr="00BB5D86">
        <w:rPr>
          <w:rFonts w:asciiTheme="minorHAnsi" w:hAnsiTheme="minorHAnsi" w:cstheme="minorHAnsi"/>
          <w:sz w:val="22"/>
          <w:lang w:eastAsia="en-AU"/>
        </w:rPr>
        <w:t xml:space="preserve"> provided a number of proposals for reforms of the employment services system, and has also </w:t>
      </w:r>
      <w:r w:rsidR="00544556" w:rsidRPr="00BB5D86">
        <w:rPr>
          <w:rFonts w:asciiTheme="minorHAnsi" w:hAnsiTheme="minorHAnsi" w:cstheme="minorHAnsi"/>
          <w:sz w:val="22"/>
          <w:lang w:eastAsia="en-AU"/>
        </w:rPr>
        <w:t>provided submissions</w:t>
      </w:r>
      <w:r w:rsidR="005A7980" w:rsidRPr="00BB5D86">
        <w:rPr>
          <w:rFonts w:asciiTheme="minorHAnsi" w:hAnsiTheme="minorHAnsi" w:cstheme="minorHAnsi"/>
          <w:sz w:val="22"/>
          <w:lang w:eastAsia="en-AU"/>
        </w:rPr>
        <w:t xml:space="preserve"> on the</w:t>
      </w:r>
      <w:r w:rsidR="00544556" w:rsidRPr="00BB5D86">
        <w:rPr>
          <w:rFonts w:asciiTheme="minorHAnsi" w:hAnsiTheme="minorHAnsi" w:cstheme="minorHAnsi"/>
          <w:sz w:val="22"/>
          <w:lang w:eastAsia="en-AU"/>
        </w:rPr>
        <w:t xml:space="preserve"> 2015 Employment Services Review</w:t>
      </w:r>
      <w:r w:rsidR="005A7980" w:rsidRPr="00BB5D86">
        <w:rPr>
          <w:rFonts w:asciiTheme="minorHAnsi" w:hAnsiTheme="minorHAnsi" w:cstheme="minorHAnsi"/>
          <w:sz w:val="22"/>
          <w:lang w:eastAsia="en-AU"/>
        </w:rPr>
        <w:t xml:space="preserve"> </w:t>
      </w:r>
      <w:r w:rsidR="00544556" w:rsidRPr="00BB5D86">
        <w:rPr>
          <w:rFonts w:asciiTheme="minorHAnsi" w:hAnsiTheme="minorHAnsi" w:cstheme="minorHAnsi"/>
          <w:sz w:val="22"/>
          <w:lang w:eastAsia="en-AU"/>
        </w:rPr>
        <w:t>and the recent</w:t>
      </w:r>
      <w:r w:rsidR="005A7980" w:rsidRPr="00BB5D86">
        <w:rPr>
          <w:rFonts w:asciiTheme="minorHAnsi" w:hAnsiTheme="minorHAnsi" w:cstheme="minorHAnsi"/>
          <w:sz w:val="22"/>
          <w:lang w:eastAsia="en-AU"/>
        </w:rPr>
        <w:t xml:space="preserve"> review of Indigenous employment and training </w:t>
      </w:r>
      <w:r w:rsidR="00544556" w:rsidRPr="00BB5D86">
        <w:rPr>
          <w:rFonts w:asciiTheme="minorHAnsi" w:hAnsiTheme="minorHAnsi" w:cstheme="minorHAnsi"/>
          <w:sz w:val="22"/>
          <w:lang w:eastAsia="en-AU"/>
        </w:rPr>
        <w:t>for remote and regional job seekers.</w:t>
      </w:r>
    </w:p>
    <w:p w:rsidR="00544556" w:rsidRPr="00BB5D86" w:rsidRDefault="00544556" w:rsidP="00473914">
      <w:pPr>
        <w:jc w:val="both"/>
        <w:rPr>
          <w:rFonts w:asciiTheme="minorHAnsi" w:hAnsiTheme="minorHAnsi" w:cstheme="minorHAnsi"/>
          <w:sz w:val="22"/>
          <w:lang w:eastAsia="en-AU"/>
        </w:rPr>
      </w:pPr>
    </w:p>
    <w:p w:rsidR="00D63E8A" w:rsidRDefault="005A7980" w:rsidP="00473914">
      <w:pPr>
        <w:jc w:val="both"/>
        <w:rPr>
          <w:rFonts w:asciiTheme="minorHAnsi" w:hAnsiTheme="minorHAnsi" w:cstheme="minorHAnsi"/>
          <w:sz w:val="22"/>
          <w:lang w:eastAsia="en-AU"/>
        </w:rPr>
      </w:pPr>
      <w:r w:rsidRPr="00BB5D86">
        <w:rPr>
          <w:rFonts w:asciiTheme="minorHAnsi" w:hAnsiTheme="minorHAnsi" w:cstheme="minorHAnsi"/>
          <w:sz w:val="22"/>
          <w:lang w:eastAsia="en-AU"/>
        </w:rPr>
        <w:t xml:space="preserve">Improvements to the current system are essential. Greater choice and real flexibility is essential. There needs to be more focus on </w:t>
      </w:r>
      <w:r w:rsidR="00544556" w:rsidRPr="00BB5D86">
        <w:rPr>
          <w:rFonts w:asciiTheme="minorHAnsi" w:hAnsiTheme="minorHAnsi" w:cstheme="minorHAnsi"/>
          <w:sz w:val="22"/>
          <w:lang w:eastAsia="en-AU"/>
        </w:rPr>
        <w:t>“</w:t>
      </w:r>
      <w:r w:rsidRPr="00BB5D86">
        <w:rPr>
          <w:rFonts w:asciiTheme="minorHAnsi" w:hAnsiTheme="minorHAnsi" w:cstheme="minorHAnsi"/>
          <w:sz w:val="22"/>
          <w:lang w:eastAsia="en-AU"/>
        </w:rPr>
        <w:t>demand led</w:t>
      </w:r>
      <w:r w:rsidR="00544556" w:rsidRPr="00BB5D86">
        <w:rPr>
          <w:rFonts w:asciiTheme="minorHAnsi" w:hAnsiTheme="minorHAnsi" w:cstheme="minorHAnsi"/>
          <w:sz w:val="22"/>
          <w:lang w:eastAsia="en-AU"/>
        </w:rPr>
        <w:t>”</w:t>
      </w:r>
      <w:r w:rsidRPr="00BB5D86">
        <w:rPr>
          <w:rFonts w:asciiTheme="minorHAnsi" w:hAnsiTheme="minorHAnsi" w:cstheme="minorHAnsi"/>
          <w:sz w:val="22"/>
          <w:lang w:eastAsia="en-AU"/>
        </w:rPr>
        <w:t xml:space="preserve"> solutions. Job seekers will be more willing to engage with providers and potential employers if they are offered greater choice of providers and services. Providers need to be able to offer more flexible, tailored services. The current system promises a flexible, tailored service, but in </w:t>
      </w:r>
      <w:r w:rsidR="00A16D1B" w:rsidRPr="00BB5D86">
        <w:rPr>
          <w:rFonts w:asciiTheme="minorHAnsi" w:hAnsiTheme="minorHAnsi" w:cstheme="minorHAnsi"/>
          <w:sz w:val="22"/>
          <w:lang w:eastAsia="en-AU"/>
        </w:rPr>
        <w:t>reality</w:t>
      </w:r>
      <w:r w:rsidRPr="00BB5D86">
        <w:rPr>
          <w:rFonts w:asciiTheme="minorHAnsi" w:hAnsiTheme="minorHAnsi" w:cstheme="minorHAnsi"/>
          <w:sz w:val="22"/>
          <w:lang w:eastAsia="en-AU"/>
        </w:rPr>
        <w:t xml:space="preserve"> it </w:t>
      </w:r>
      <w:r w:rsidR="00807C6F">
        <w:rPr>
          <w:rFonts w:asciiTheme="minorHAnsi" w:hAnsiTheme="minorHAnsi" w:cstheme="minorHAnsi"/>
          <w:sz w:val="22"/>
          <w:lang w:eastAsia="en-AU"/>
        </w:rPr>
        <w:t>provides</w:t>
      </w:r>
      <w:r w:rsidR="00807C6F" w:rsidRPr="00BB5D86">
        <w:rPr>
          <w:rFonts w:asciiTheme="minorHAnsi" w:hAnsiTheme="minorHAnsi" w:cstheme="minorHAnsi"/>
          <w:sz w:val="22"/>
          <w:lang w:eastAsia="en-AU"/>
        </w:rPr>
        <w:t xml:space="preserve"> </w:t>
      </w:r>
      <w:r w:rsidRPr="00BB5D86">
        <w:rPr>
          <w:rFonts w:asciiTheme="minorHAnsi" w:hAnsiTheme="minorHAnsi" w:cstheme="minorHAnsi"/>
          <w:sz w:val="22"/>
          <w:lang w:eastAsia="en-AU"/>
        </w:rPr>
        <w:t>neither.</w:t>
      </w:r>
    </w:p>
    <w:p w:rsidR="00D63E8A" w:rsidRDefault="00D63E8A" w:rsidP="00473914">
      <w:pPr>
        <w:jc w:val="both"/>
        <w:rPr>
          <w:rFonts w:asciiTheme="minorHAnsi" w:hAnsiTheme="minorHAnsi" w:cstheme="minorHAnsi"/>
          <w:sz w:val="22"/>
          <w:lang w:eastAsia="en-AU"/>
        </w:rPr>
      </w:pPr>
    </w:p>
    <w:p w:rsidR="00D63E8A" w:rsidRPr="00D63E8A" w:rsidRDefault="00D63E8A" w:rsidP="00473914">
      <w:pPr>
        <w:jc w:val="both"/>
        <w:rPr>
          <w:rFonts w:asciiTheme="minorHAnsi" w:hAnsiTheme="minorHAnsi" w:cstheme="minorHAnsi"/>
          <w:color w:val="FF0000"/>
          <w:sz w:val="22"/>
          <w:lang w:eastAsia="en-AU"/>
        </w:rPr>
      </w:pPr>
    </w:p>
    <w:p w:rsidR="00D63E8A" w:rsidRPr="00BB5D86" w:rsidRDefault="000966B1" w:rsidP="000966B1">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lang w:eastAsia="en-AU"/>
        </w:rPr>
      </w:pPr>
      <w:r w:rsidRPr="000966B1">
        <w:rPr>
          <w:rFonts w:asciiTheme="minorHAnsi" w:hAnsiTheme="minorHAnsi" w:cstheme="minorHAnsi"/>
          <w:b/>
          <w:sz w:val="22"/>
          <w:lang w:eastAsia="en-AU"/>
        </w:rPr>
        <w:t>Recommendation #4:</w:t>
      </w:r>
      <w:r>
        <w:rPr>
          <w:rFonts w:asciiTheme="minorHAnsi" w:hAnsiTheme="minorHAnsi" w:cstheme="minorHAnsi"/>
          <w:sz w:val="22"/>
          <w:lang w:eastAsia="en-AU"/>
        </w:rPr>
        <w:t xml:space="preserve"> </w:t>
      </w:r>
      <w:r w:rsidR="00807C6F">
        <w:rPr>
          <w:rFonts w:asciiTheme="minorHAnsi" w:hAnsiTheme="minorHAnsi" w:cstheme="minorHAnsi"/>
          <w:sz w:val="22"/>
          <w:lang w:eastAsia="en-AU"/>
        </w:rPr>
        <w:t>I</w:t>
      </w:r>
      <w:r>
        <w:rPr>
          <w:rFonts w:asciiTheme="minorHAnsi" w:hAnsiTheme="minorHAnsi" w:cstheme="minorHAnsi"/>
          <w:sz w:val="22"/>
          <w:lang w:eastAsia="en-AU"/>
        </w:rPr>
        <w:t>ncrease investment in employment assistance</w:t>
      </w:r>
      <w:r w:rsidR="00DC03CC">
        <w:rPr>
          <w:rFonts w:asciiTheme="minorHAnsi" w:hAnsiTheme="minorHAnsi" w:cstheme="minorHAnsi"/>
          <w:sz w:val="22"/>
          <w:lang w:eastAsia="en-AU"/>
        </w:rPr>
        <w:t xml:space="preserve"> that offer</w:t>
      </w:r>
      <w:r w:rsidR="009B0456">
        <w:rPr>
          <w:rFonts w:asciiTheme="minorHAnsi" w:hAnsiTheme="minorHAnsi" w:cstheme="minorHAnsi"/>
          <w:sz w:val="22"/>
          <w:lang w:eastAsia="en-AU"/>
        </w:rPr>
        <w:t>s</w:t>
      </w:r>
      <w:r w:rsidR="00DC03CC">
        <w:rPr>
          <w:rFonts w:asciiTheme="minorHAnsi" w:hAnsiTheme="minorHAnsi" w:cstheme="minorHAnsi"/>
          <w:sz w:val="22"/>
          <w:lang w:eastAsia="en-AU"/>
        </w:rPr>
        <w:t xml:space="preserve"> greater flexibility and choice for job seekers.</w:t>
      </w:r>
    </w:p>
    <w:p w:rsidR="00DF32B7" w:rsidRPr="00BB5D86" w:rsidRDefault="00DF32B7" w:rsidP="00473914">
      <w:pPr>
        <w:jc w:val="both"/>
        <w:rPr>
          <w:rFonts w:asciiTheme="minorHAnsi" w:hAnsiTheme="minorHAnsi" w:cstheme="minorHAnsi"/>
          <w:sz w:val="22"/>
          <w:lang w:eastAsia="en-AU"/>
        </w:rPr>
      </w:pPr>
    </w:p>
    <w:p w:rsidR="00BA710C" w:rsidRPr="00FE420F" w:rsidRDefault="00D63E8A" w:rsidP="00012394">
      <w:pPr>
        <w:pStyle w:val="Heading3"/>
        <w:rPr>
          <w:sz w:val="24"/>
          <w:szCs w:val="24"/>
        </w:rPr>
      </w:pPr>
      <w:bookmarkStart w:id="8" w:name="_Toc379199684"/>
      <w:r w:rsidRPr="00FE420F">
        <w:rPr>
          <w:sz w:val="24"/>
          <w:szCs w:val="24"/>
        </w:rPr>
        <w:t>Expand the w</w:t>
      </w:r>
      <w:r w:rsidR="00BA710C" w:rsidRPr="00FE420F">
        <w:rPr>
          <w:sz w:val="24"/>
          <w:szCs w:val="24"/>
        </w:rPr>
        <w:t>ag</w:t>
      </w:r>
      <w:r w:rsidR="00401D50" w:rsidRPr="00FE420F">
        <w:rPr>
          <w:sz w:val="24"/>
          <w:szCs w:val="24"/>
        </w:rPr>
        <w:t>e subsid</w:t>
      </w:r>
      <w:r w:rsidRPr="00FE420F">
        <w:rPr>
          <w:sz w:val="24"/>
          <w:szCs w:val="24"/>
        </w:rPr>
        <w:t>y program</w:t>
      </w:r>
      <w:bookmarkEnd w:id="8"/>
    </w:p>
    <w:p w:rsidR="00401D50" w:rsidRPr="00BB5D86" w:rsidRDefault="00401D50" w:rsidP="00473914">
      <w:pPr>
        <w:jc w:val="both"/>
        <w:rPr>
          <w:rFonts w:asciiTheme="minorHAnsi" w:hAnsiTheme="minorHAnsi" w:cstheme="minorHAnsi"/>
          <w:b/>
          <w:sz w:val="22"/>
          <w:lang w:eastAsia="en-AU"/>
        </w:rPr>
      </w:pPr>
    </w:p>
    <w:p w:rsidR="00624F37" w:rsidRPr="00BB5D86" w:rsidRDefault="00624F37" w:rsidP="00624F37">
      <w:pPr>
        <w:jc w:val="both"/>
        <w:rPr>
          <w:rFonts w:asciiTheme="minorHAnsi" w:hAnsiTheme="minorHAnsi" w:cstheme="minorHAnsi"/>
          <w:sz w:val="22"/>
          <w:lang w:eastAsia="en-AU"/>
        </w:rPr>
      </w:pPr>
      <w:r w:rsidRPr="00BB5D86">
        <w:rPr>
          <w:rFonts w:asciiTheme="minorHAnsi" w:hAnsiTheme="minorHAnsi" w:cstheme="minorHAnsi"/>
          <w:sz w:val="22"/>
          <w:lang w:eastAsia="en-AU"/>
        </w:rPr>
        <w:t>Wage subsidy programs provide unemployed people with the chance to gain real skills and on-the-job experience and evidence shows that people with recent experience are much more likely to be considered by a future employer.</w:t>
      </w:r>
    </w:p>
    <w:p w:rsidR="00624F37" w:rsidRPr="00BB5D86" w:rsidRDefault="00624F37" w:rsidP="00624F37">
      <w:pPr>
        <w:jc w:val="both"/>
        <w:rPr>
          <w:rFonts w:asciiTheme="minorHAnsi" w:hAnsiTheme="minorHAnsi" w:cstheme="minorHAnsi"/>
          <w:sz w:val="22"/>
          <w:lang w:eastAsia="en-AU"/>
        </w:rPr>
      </w:pPr>
    </w:p>
    <w:p w:rsidR="00624F37" w:rsidRPr="00BB5D86" w:rsidRDefault="00624F37" w:rsidP="00624F37">
      <w:pPr>
        <w:jc w:val="both"/>
        <w:rPr>
          <w:rFonts w:asciiTheme="minorHAnsi" w:hAnsiTheme="minorHAnsi" w:cstheme="minorHAnsi"/>
          <w:sz w:val="22"/>
          <w:lang w:eastAsia="en-AU"/>
        </w:rPr>
      </w:pPr>
      <w:r w:rsidRPr="00BB5D86">
        <w:rPr>
          <w:rFonts w:asciiTheme="minorHAnsi" w:hAnsiTheme="minorHAnsi" w:cstheme="minorHAnsi"/>
          <w:sz w:val="22"/>
          <w:lang w:eastAsia="en-AU"/>
        </w:rPr>
        <w:t xml:space="preserve">A period of paid work experience in regular employment can significantly improve the job prospects of long-term unemployed people and this type of program could be extended to young people generally.   This type of program also reassures employers that the jobseeker is capable of undertaking work. Equally important for a jobseeker, these schemes can increase the confidence of job seekers who had been previously overlooked. </w:t>
      </w:r>
    </w:p>
    <w:p w:rsidR="005209E8" w:rsidRPr="00BB5D86" w:rsidRDefault="008F75A1" w:rsidP="00473914">
      <w:pPr>
        <w:jc w:val="both"/>
        <w:rPr>
          <w:rFonts w:asciiTheme="minorHAnsi" w:hAnsiTheme="minorHAnsi" w:cstheme="minorHAnsi"/>
          <w:sz w:val="22"/>
          <w:lang w:eastAsia="en-AU"/>
        </w:rPr>
      </w:pPr>
      <w:r w:rsidRPr="00BB5D86">
        <w:rPr>
          <w:rFonts w:asciiTheme="minorHAnsi" w:hAnsiTheme="minorHAnsi" w:cstheme="minorHAnsi"/>
          <w:sz w:val="22"/>
          <w:lang w:eastAsia="en-AU"/>
        </w:rPr>
        <w:lastRenderedPageBreak/>
        <w:t xml:space="preserve">NWRN welcomes the Government’s </w:t>
      </w:r>
      <w:r w:rsidR="00544556" w:rsidRPr="00BB5D86">
        <w:rPr>
          <w:rFonts w:asciiTheme="minorHAnsi" w:hAnsiTheme="minorHAnsi" w:cstheme="minorHAnsi"/>
          <w:sz w:val="22"/>
          <w:lang w:eastAsia="en-AU"/>
        </w:rPr>
        <w:t xml:space="preserve">recent </w:t>
      </w:r>
      <w:r w:rsidRPr="00BB5D86">
        <w:rPr>
          <w:rFonts w:asciiTheme="minorHAnsi" w:hAnsiTheme="minorHAnsi" w:cstheme="minorHAnsi"/>
          <w:sz w:val="22"/>
          <w:lang w:eastAsia="en-AU"/>
        </w:rPr>
        <w:t>decision to ‘fast-track’ the starting date of the</w:t>
      </w:r>
      <w:r w:rsidR="00544556" w:rsidRPr="00BB5D86">
        <w:rPr>
          <w:rFonts w:asciiTheme="minorHAnsi" w:hAnsiTheme="minorHAnsi" w:cstheme="minorHAnsi"/>
          <w:sz w:val="22"/>
          <w:lang w:eastAsia="en-AU"/>
        </w:rPr>
        <w:t xml:space="preserve"> Tasmanian wage subsidy program. T</w:t>
      </w:r>
      <w:r w:rsidRPr="00BB5D86">
        <w:rPr>
          <w:rFonts w:asciiTheme="minorHAnsi" w:hAnsiTheme="minorHAnsi" w:cstheme="minorHAnsi"/>
          <w:sz w:val="22"/>
          <w:lang w:eastAsia="en-AU"/>
        </w:rPr>
        <w:t xml:space="preserve">he scheme will be evaluated </w:t>
      </w:r>
      <w:r w:rsidR="00544556" w:rsidRPr="00BB5D86">
        <w:rPr>
          <w:rFonts w:asciiTheme="minorHAnsi" w:hAnsiTheme="minorHAnsi" w:cstheme="minorHAnsi"/>
          <w:sz w:val="22"/>
          <w:lang w:eastAsia="en-AU"/>
        </w:rPr>
        <w:t xml:space="preserve">to determine whether </w:t>
      </w:r>
      <w:r w:rsidRPr="00BB5D86">
        <w:rPr>
          <w:rFonts w:asciiTheme="minorHAnsi" w:hAnsiTheme="minorHAnsi" w:cstheme="minorHAnsi"/>
          <w:sz w:val="22"/>
          <w:lang w:eastAsia="en-AU"/>
        </w:rPr>
        <w:t>it should continue or be expanded.</w:t>
      </w:r>
      <w:r w:rsidRPr="00BB5D86">
        <w:rPr>
          <w:rStyle w:val="FootnoteReference"/>
          <w:rFonts w:asciiTheme="minorHAnsi" w:hAnsiTheme="minorHAnsi" w:cstheme="minorHAnsi"/>
          <w:sz w:val="22"/>
          <w:lang w:eastAsia="en-AU"/>
        </w:rPr>
        <w:footnoteReference w:id="9"/>
      </w:r>
      <w:r w:rsidRPr="00BB5D86">
        <w:rPr>
          <w:rFonts w:asciiTheme="minorHAnsi" w:hAnsiTheme="minorHAnsi" w:cstheme="minorHAnsi"/>
          <w:sz w:val="22"/>
          <w:lang w:eastAsia="en-AU"/>
        </w:rPr>
        <w:t xml:space="preserve"> </w:t>
      </w:r>
      <w:r w:rsidR="00DC03CC">
        <w:rPr>
          <w:rFonts w:asciiTheme="minorHAnsi" w:hAnsiTheme="minorHAnsi" w:cstheme="minorHAnsi"/>
          <w:sz w:val="22"/>
          <w:lang w:eastAsia="en-AU"/>
        </w:rPr>
        <w:t>However, we are deeply disappointed that the Government has ceased offering the 2011 ‘Wage Connect’ six month wage subsidy scheme which targeted 10,000 very long term job seekers per year.</w:t>
      </w:r>
    </w:p>
    <w:p w:rsidR="00BA710C" w:rsidRPr="00BB5D86" w:rsidRDefault="00BA710C" w:rsidP="00BA710C">
      <w:pPr>
        <w:jc w:val="both"/>
        <w:rPr>
          <w:rFonts w:asciiTheme="minorHAnsi" w:hAnsiTheme="minorHAnsi" w:cstheme="minorHAnsi"/>
          <w:sz w:val="22"/>
          <w:lang w:eastAsia="en-AU"/>
        </w:rPr>
      </w:pPr>
    </w:p>
    <w:p w:rsidR="00BA710C" w:rsidRPr="00BB5D86" w:rsidRDefault="00903465" w:rsidP="00BA710C">
      <w:pPr>
        <w:jc w:val="both"/>
        <w:rPr>
          <w:rFonts w:asciiTheme="minorHAnsi" w:hAnsiTheme="minorHAnsi" w:cstheme="minorHAnsi"/>
          <w:sz w:val="22"/>
          <w:lang w:eastAsia="en-AU"/>
        </w:rPr>
      </w:pPr>
      <w:r w:rsidRPr="00BB5D86">
        <w:rPr>
          <w:rFonts w:asciiTheme="minorHAnsi" w:hAnsiTheme="minorHAnsi" w:cstheme="minorHAnsi"/>
          <w:sz w:val="22"/>
          <w:lang w:eastAsia="en-AU"/>
        </w:rPr>
        <w:t>The Post-</w:t>
      </w:r>
      <w:r w:rsidR="00BA710C" w:rsidRPr="00BB5D86">
        <w:rPr>
          <w:rFonts w:asciiTheme="minorHAnsi" w:hAnsiTheme="minorHAnsi" w:cstheme="minorHAnsi"/>
          <w:sz w:val="22"/>
          <w:lang w:eastAsia="en-AU"/>
        </w:rPr>
        <w:t>Program Monitoring Survey from the Department of Employment, Education and Workplace Relations (DEEWR) reveals far better outcomes for job seekers who have participated in the Wage Connect scheme. In 2011-12, 27.2% of unemployed people who had been out of work for 24 months or more were in employment three months after starting in the employment services system.  By contrast, 47% of participants in the wage connect scheme (or 3,779 of the total of 8,084) were in employment after the end of the six-month wage subsidy period.</w:t>
      </w:r>
      <w:r w:rsidR="00BA710C" w:rsidRPr="00BB5D86">
        <w:rPr>
          <w:rStyle w:val="FootnoteReference"/>
          <w:rFonts w:asciiTheme="minorHAnsi" w:hAnsiTheme="minorHAnsi" w:cstheme="minorHAnsi"/>
          <w:sz w:val="22"/>
          <w:lang w:eastAsia="en-AU"/>
        </w:rPr>
        <w:footnoteReference w:id="10"/>
      </w:r>
    </w:p>
    <w:p w:rsidR="00BA710C" w:rsidRPr="00BB5D86" w:rsidRDefault="00BA710C" w:rsidP="005A796C">
      <w:pPr>
        <w:rPr>
          <w:rFonts w:asciiTheme="minorHAnsi" w:hAnsiTheme="minorHAnsi" w:cstheme="minorHAnsi"/>
          <w:sz w:val="22"/>
        </w:rPr>
      </w:pPr>
    </w:p>
    <w:p w:rsidR="005A796C" w:rsidRPr="00BB5D86" w:rsidRDefault="005A796C" w:rsidP="005A796C">
      <w:pPr>
        <w:rPr>
          <w:rFonts w:asciiTheme="minorHAnsi" w:hAnsiTheme="minorHAnsi" w:cstheme="minorHAnsi"/>
          <w:sz w:val="22"/>
        </w:rPr>
      </w:pPr>
      <w:r w:rsidRPr="00BB5D86">
        <w:rPr>
          <w:rFonts w:asciiTheme="minorHAnsi" w:hAnsiTheme="minorHAnsi" w:cstheme="minorHAnsi"/>
          <w:sz w:val="22"/>
        </w:rPr>
        <w:t>During 2012–13, 8,835 participants had been placed in a Wage Connect.  As at 30 September 2013, 5,636 13-week employment outcomes have been recorded and 4,329 26-week employment outcomes have been recorded.</w:t>
      </w:r>
      <w:r w:rsidR="00DC03CC">
        <w:rPr>
          <w:rFonts w:asciiTheme="minorHAnsi" w:hAnsiTheme="minorHAnsi" w:cstheme="minorHAnsi"/>
          <w:sz w:val="22"/>
        </w:rPr>
        <w:t xml:space="preserve"> The Government should immediately restore this highly successful program.</w:t>
      </w:r>
    </w:p>
    <w:p w:rsidR="005A796C" w:rsidRPr="00BB5D86" w:rsidRDefault="005A796C" w:rsidP="005A796C">
      <w:pPr>
        <w:rPr>
          <w:rFonts w:asciiTheme="minorHAnsi" w:hAnsiTheme="minorHAnsi" w:cstheme="minorHAnsi"/>
          <w:sz w:val="22"/>
        </w:rPr>
      </w:pPr>
    </w:p>
    <w:p w:rsidR="00DF32B7" w:rsidRPr="00BB5D86" w:rsidRDefault="00DF32B7" w:rsidP="00BA710C">
      <w:pPr>
        <w:jc w:val="both"/>
        <w:rPr>
          <w:rFonts w:asciiTheme="minorHAnsi" w:hAnsiTheme="minorHAnsi" w:cstheme="minorHAnsi"/>
          <w:sz w:val="22"/>
          <w:lang w:eastAsia="en-AU"/>
        </w:rPr>
      </w:pPr>
      <w:r w:rsidRPr="00BB5D86">
        <w:rPr>
          <w:rFonts w:asciiTheme="minorHAnsi" w:hAnsiTheme="minorHAnsi" w:cstheme="minorHAnsi"/>
          <w:sz w:val="22"/>
          <w:lang w:eastAsia="en-AU"/>
        </w:rPr>
        <w:t xml:space="preserve">The </w:t>
      </w:r>
      <w:r w:rsidR="005209E8" w:rsidRPr="00BB5D86">
        <w:rPr>
          <w:rFonts w:asciiTheme="minorHAnsi" w:hAnsiTheme="minorHAnsi" w:cstheme="minorHAnsi"/>
          <w:sz w:val="22"/>
          <w:lang w:eastAsia="en-AU"/>
        </w:rPr>
        <w:t>current employment services</w:t>
      </w:r>
      <w:r w:rsidRPr="00BB5D86">
        <w:rPr>
          <w:rFonts w:asciiTheme="minorHAnsi" w:hAnsiTheme="minorHAnsi" w:cstheme="minorHAnsi"/>
          <w:sz w:val="22"/>
          <w:lang w:eastAsia="en-AU"/>
        </w:rPr>
        <w:t xml:space="preserve"> system could be</w:t>
      </w:r>
      <w:r w:rsidR="00BA710C" w:rsidRPr="00BB5D86">
        <w:rPr>
          <w:rFonts w:asciiTheme="minorHAnsi" w:hAnsiTheme="minorHAnsi" w:cstheme="minorHAnsi"/>
          <w:sz w:val="22"/>
          <w:lang w:eastAsia="en-AU"/>
        </w:rPr>
        <w:t xml:space="preserve"> significantly</w:t>
      </w:r>
      <w:r w:rsidRPr="00BB5D86">
        <w:rPr>
          <w:rFonts w:asciiTheme="minorHAnsi" w:hAnsiTheme="minorHAnsi" w:cstheme="minorHAnsi"/>
          <w:sz w:val="22"/>
          <w:lang w:eastAsia="en-AU"/>
        </w:rPr>
        <w:t xml:space="preserve"> improved if the following </w:t>
      </w:r>
      <w:r w:rsidR="00AD5D6A">
        <w:rPr>
          <w:rFonts w:asciiTheme="minorHAnsi" w:hAnsiTheme="minorHAnsi" w:cstheme="minorHAnsi"/>
          <w:sz w:val="22"/>
          <w:lang w:eastAsia="en-AU"/>
        </w:rPr>
        <w:t>measures are taken.</w:t>
      </w:r>
    </w:p>
    <w:p w:rsidR="00DF32B7" w:rsidRPr="00BB5D86" w:rsidRDefault="00DF32B7" w:rsidP="00473914">
      <w:pPr>
        <w:jc w:val="both"/>
        <w:rPr>
          <w:rFonts w:asciiTheme="minorHAnsi" w:hAnsiTheme="minorHAnsi" w:cstheme="minorHAnsi"/>
          <w:sz w:val="22"/>
          <w:lang w:eastAsia="en-AU"/>
        </w:rPr>
      </w:pPr>
    </w:p>
    <w:p w:rsidR="00DF32B7" w:rsidRPr="00BB5D86" w:rsidRDefault="00AD5D6A" w:rsidP="00473914">
      <w:pPr>
        <w:numPr>
          <w:ilvl w:val="0"/>
          <w:numId w:val="2"/>
        </w:numPr>
        <w:jc w:val="both"/>
        <w:rPr>
          <w:rFonts w:asciiTheme="minorHAnsi" w:hAnsiTheme="minorHAnsi" w:cstheme="minorHAnsi"/>
          <w:sz w:val="22"/>
          <w:lang w:val="en-US" w:eastAsia="en-AU"/>
        </w:rPr>
      </w:pPr>
      <w:r>
        <w:rPr>
          <w:rFonts w:asciiTheme="minorHAnsi" w:hAnsiTheme="minorHAnsi" w:cstheme="minorHAnsi"/>
          <w:sz w:val="22"/>
          <w:lang w:val="en-US" w:eastAsia="en-AU"/>
        </w:rPr>
        <w:t>I</w:t>
      </w:r>
      <w:r w:rsidR="00DF32B7" w:rsidRPr="00BB5D86">
        <w:rPr>
          <w:rFonts w:asciiTheme="minorHAnsi" w:hAnsiTheme="minorHAnsi" w:cstheme="minorHAnsi"/>
          <w:sz w:val="22"/>
          <w:lang w:val="en-US" w:eastAsia="en-AU"/>
        </w:rPr>
        <w:t>ncrease payments to allow providers to improve training and work experience options for people at risk of becoming long term unemployed</w:t>
      </w:r>
      <w:r>
        <w:rPr>
          <w:rFonts w:asciiTheme="minorHAnsi" w:hAnsiTheme="minorHAnsi" w:cstheme="minorHAnsi"/>
          <w:sz w:val="22"/>
          <w:lang w:val="en-US" w:eastAsia="en-AU"/>
        </w:rPr>
        <w:t>.</w:t>
      </w:r>
    </w:p>
    <w:p w:rsidR="008E4765" w:rsidRPr="00BB5D86" w:rsidRDefault="00AD5D6A" w:rsidP="00473914">
      <w:pPr>
        <w:numPr>
          <w:ilvl w:val="0"/>
          <w:numId w:val="2"/>
        </w:numPr>
        <w:jc w:val="both"/>
        <w:rPr>
          <w:rFonts w:asciiTheme="minorHAnsi" w:hAnsiTheme="minorHAnsi" w:cstheme="minorHAnsi"/>
          <w:sz w:val="22"/>
          <w:lang w:val="en-US" w:eastAsia="en-AU"/>
        </w:rPr>
      </w:pPr>
      <w:r>
        <w:rPr>
          <w:rFonts w:asciiTheme="minorHAnsi" w:hAnsiTheme="minorHAnsi" w:cstheme="minorHAnsi"/>
          <w:sz w:val="22"/>
          <w:lang w:val="en-US" w:eastAsia="en-AU"/>
        </w:rPr>
        <w:t xml:space="preserve">Introduce </w:t>
      </w:r>
      <w:r w:rsidR="008A3613">
        <w:rPr>
          <w:rFonts w:asciiTheme="minorHAnsi" w:hAnsiTheme="minorHAnsi" w:cstheme="minorHAnsi"/>
          <w:sz w:val="22"/>
          <w:lang w:val="en-US" w:eastAsia="en-AU"/>
        </w:rPr>
        <w:t>w</w:t>
      </w:r>
      <w:r w:rsidR="008E4765" w:rsidRPr="00BB5D86">
        <w:rPr>
          <w:rFonts w:asciiTheme="minorHAnsi" w:hAnsiTheme="minorHAnsi" w:cstheme="minorHAnsi"/>
          <w:sz w:val="22"/>
          <w:lang w:val="en-US" w:eastAsia="en-AU"/>
        </w:rPr>
        <w:t>age s</w:t>
      </w:r>
      <w:r w:rsidR="00FB0A5B" w:rsidRPr="00BB5D86">
        <w:rPr>
          <w:rFonts w:asciiTheme="minorHAnsi" w:hAnsiTheme="minorHAnsi" w:cstheme="minorHAnsi"/>
          <w:sz w:val="22"/>
          <w:lang w:val="en-US" w:eastAsia="en-AU"/>
        </w:rPr>
        <w:t>ubsidy schemes for young people</w:t>
      </w:r>
      <w:r>
        <w:rPr>
          <w:rFonts w:asciiTheme="minorHAnsi" w:hAnsiTheme="minorHAnsi" w:cstheme="minorHAnsi"/>
          <w:sz w:val="22"/>
          <w:lang w:val="en-US" w:eastAsia="en-AU"/>
        </w:rPr>
        <w:t>.</w:t>
      </w:r>
    </w:p>
    <w:p w:rsidR="00DF32B7" w:rsidRPr="00BB5D86" w:rsidRDefault="00AD5D6A" w:rsidP="00473914">
      <w:pPr>
        <w:numPr>
          <w:ilvl w:val="0"/>
          <w:numId w:val="2"/>
        </w:numPr>
        <w:jc w:val="both"/>
        <w:rPr>
          <w:rFonts w:asciiTheme="minorHAnsi" w:hAnsiTheme="minorHAnsi" w:cstheme="minorHAnsi"/>
          <w:sz w:val="22"/>
          <w:lang w:val="en-US" w:eastAsia="en-AU"/>
        </w:rPr>
      </w:pPr>
      <w:r>
        <w:rPr>
          <w:rFonts w:asciiTheme="minorHAnsi" w:hAnsiTheme="minorHAnsi" w:cstheme="minorHAnsi"/>
          <w:sz w:val="22"/>
          <w:lang w:val="en-US" w:eastAsia="en-AU"/>
        </w:rPr>
        <w:t>Double</w:t>
      </w:r>
      <w:r w:rsidRPr="00BB5D86">
        <w:rPr>
          <w:rFonts w:asciiTheme="minorHAnsi" w:hAnsiTheme="minorHAnsi" w:cstheme="minorHAnsi"/>
          <w:sz w:val="22"/>
          <w:lang w:val="en-US" w:eastAsia="en-AU"/>
        </w:rPr>
        <w:t xml:space="preserve"> </w:t>
      </w:r>
      <w:r w:rsidR="00DF32B7" w:rsidRPr="00BB5D86">
        <w:rPr>
          <w:rFonts w:asciiTheme="minorHAnsi" w:hAnsiTheme="minorHAnsi" w:cstheme="minorHAnsi"/>
          <w:sz w:val="22"/>
          <w:lang w:val="en-US" w:eastAsia="en-AU"/>
        </w:rPr>
        <w:t xml:space="preserve">the Wage Connect wage subsidy scheme to 20,000 places per </w:t>
      </w:r>
      <w:r w:rsidR="00547570" w:rsidRPr="00BB5D86">
        <w:rPr>
          <w:rFonts w:asciiTheme="minorHAnsi" w:hAnsiTheme="minorHAnsi" w:cstheme="minorHAnsi"/>
          <w:sz w:val="22"/>
          <w:lang w:val="en-US" w:eastAsia="en-AU"/>
        </w:rPr>
        <w:t>annum</w:t>
      </w:r>
      <w:r>
        <w:rPr>
          <w:rFonts w:asciiTheme="minorHAnsi" w:hAnsiTheme="minorHAnsi" w:cstheme="minorHAnsi"/>
          <w:sz w:val="22"/>
          <w:lang w:val="en-US" w:eastAsia="en-AU"/>
        </w:rPr>
        <w:t>.</w:t>
      </w:r>
    </w:p>
    <w:p w:rsidR="00DF32B7" w:rsidRPr="00BB5D86" w:rsidRDefault="00AD5D6A" w:rsidP="00473914">
      <w:pPr>
        <w:numPr>
          <w:ilvl w:val="0"/>
          <w:numId w:val="2"/>
        </w:numPr>
        <w:jc w:val="both"/>
        <w:rPr>
          <w:rFonts w:asciiTheme="minorHAnsi" w:hAnsiTheme="minorHAnsi" w:cstheme="minorHAnsi"/>
          <w:sz w:val="22"/>
          <w:lang w:val="en-US" w:eastAsia="en-AU"/>
        </w:rPr>
      </w:pPr>
      <w:r>
        <w:rPr>
          <w:rFonts w:asciiTheme="minorHAnsi" w:hAnsiTheme="minorHAnsi" w:cstheme="minorHAnsi"/>
          <w:sz w:val="22"/>
          <w:lang w:val="en-US" w:eastAsia="en-AU"/>
        </w:rPr>
        <w:t>Additional</w:t>
      </w:r>
      <w:r w:rsidRPr="00BB5D86">
        <w:rPr>
          <w:rFonts w:asciiTheme="minorHAnsi" w:hAnsiTheme="minorHAnsi" w:cstheme="minorHAnsi"/>
          <w:sz w:val="22"/>
          <w:lang w:val="en-US" w:eastAsia="en-AU"/>
        </w:rPr>
        <w:t xml:space="preserve"> </w:t>
      </w:r>
      <w:r w:rsidR="00DF32B7" w:rsidRPr="00BB5D86">
        <w:rPr>
          <w:rFonts w:asciiTheme="minorHAnsi" w:hAnsiTheme="minorHAnsi" w:cstheme="minorHAnsi"/>
          <w:sz w:val="22"/>
          <w:lang w:val="en-US" w:eastAsia="en-AU"/>
        </w:rPr>
        <w:t>investment in the Local Connections To Work program</w:t>
      </w:r>
      <w:r w:rsidR="009334A3">
        <w:rPr>
          <w:rFonts w:asciiTheme="minorHAnsi" w:hAnsiTheme="minorHAnsi" w:cstheme="minorHAnsi"/>
          <w:sz w:val="22"/>
          <w:lang w:val="en-US" w:eastAsia="en-AU"/>
        </w:rPr>
        <w:t>s</w:t>
      </w:r>
      <w:r>
        <w:rPr>
          <w:rFonts w:asciiTheme="minorHAnsi" w:hAnsiTheme="minorHAnsi" w:cstheme="minorHAnsi"/>
          <w:sz w:val="22"/>
          <w:lang w:val="en-US" w:eastAsia="en-AU"/>
        </w:rPr>
        <w:t>.</w:t>
      </w:r>
    </w:p>
    <w:p w:rsidR="00DF32B7" w:rsidRPr="00BB5D86" w:rsidRDefault="00AD5D6A" w:rsidP="00473914">
      <w:pPr>
        <w:numPr>
          <w:ilvl w:val="0"/>
          <w:numId w:val="2"/>
        </w:numPr>
        <w:jc w:val="both"/>
        <w:rPr>
          <w:rFonts w:asciiTheme="minorHAnsi" w:hAnsiTheme="minorHAnsi" w:cstheme="minorHAnsi"/>
          <w:sz w:val="22"/>
          <w:lang w:val="en-US" w:eastAsia="en-AU"/>
        </w:rPr>
      </w:pPr>
      <w:r>
        <w:rPr>
          <w:rFonts w:asciiTheme="minorHAnsi" w:hAnsiTheme="minorHAnsi" w:cstheme="minorHAnsi"/>
          <w:sz w:val="22"/>
          <w:lang w:val="en-US" w:eastAsia="en-AU"/>
        </w:rPr>
        <w:t>Introduce</w:t>
      </w:r>
      <w:r w:rsidRPr="00BB5D86">
        <w:rPr>
          <w:rFonts w:asciiTheme="minorHAnsi" w:hAnsiTheme="minorHAnsi" w:cstheme="minorHAnsi"/>
          <w:sz w:val="22"/>
          <w:lang w:val="en-US" w:eastAsia="en-AU"/>
        </w:rPr>
        <w:t xml:space="preserve"> </w:t>
      </w:r>
      <w:r w:rsidR="00FB0A5B" w:rsidRPr="00BB5D86">
        <w:rPr>
          <w:rFonts w:asciiTheme="minorHAnsi" w:hAnsiTheme="minorHAnsi" w:cstheme="minorHAnsi"/>
          <w:sz w:val="22"/>
          <w:lang w:val="en-US" w:eastAsia="en-AU"/>
        </w:rPr>
        <w:t>measures to reduce churn’</w:t>
      </w:r>
      <w:r w:rsidR="00DF32B7" w:rsidRPr="00BB5D86">
        <w:rPr>
          <w:rFonts w:asciiTheme="minorHAnsi" w:hAnsiTheme="minorHAnsi" w:cstheme="minorHAnsi"/>
          <w:sz w:val="22"/>
          <w:lang w:val="en-US" w:eastAsia="en-AU"/>
        </w:rPr>
        <w:t xml:space="preserve"> of disadvantaged job seekers;</w:t>
      </w:r>
    </w:p>
    <w:p w:rsidR="00DF32B7" w:rsidRPr="00BB5D86" w:rsidRDefault="00AD5D6A" w:rsidP="00473914">
      <w:pPr>
        <w:numPr>
          <w:ilvl w:val="0"/>
          <w:numId w:val="2"/>
        </w:numPr>
        <w:jc w:val="both"/>
        <w:rPr>
          <w:rFonts w:asciiTheme="minorHAnsi" w:hAnsiTheme="minorHAnsi" w:cstheme="minorHAnsi"/>
          <w:sz w:val="22"/>
          <w:lang w:val="en-US" w:eastAsia="en-AU"/>
        </w:rPr>
      </w:pPr>
      <w:r>
        <w:rPr>
          <w:rFonts w:asciiTheme="minorHAnsi" w:hAnsiTheme="minorHAnsi" w:cstheme="minorHAnsi"/>
          <w:sz w:val="22"/>
          <w:lang w:val="en-US" w:eastAsia="en-AU"/>
        </w:rPr>
        <w:t>G</w:t>
      </w:r>
      <w:r w:rsidR="00DF32B7" w:rsidRPr="00BB5D86">
        <w:rPr>
          <w:rFonts w:asciiTheme="minorHAnsi" w:hAnsiTheme="minorHAnsi" w:cstheme="minorHAnsi"/>
          <w:sz w:val="22"/>
          <w:lang w:val="en-US" w:eastAsia="en-AU"/>
        </w:rPr>
        <w:t>reater flexibility for young people, including increased options for job search</w:t>
      </w:r>
      <w:r>
        <w:rPr>
          <w:rFonts w:asciiTheme="minorHAnsi" w:hAnsiTheme="minorHAnsi" w:cstheme="minorHAnsi"/>
          <w:sz w:val="22"/>
          <w:lang w:val="en-US" w:eastAsia="en-AU"/>
        </w:rPr>
        <w:t>.</w:t>
      </w:r>
    </w:p>
    <w:p w:rsidR="00DF32B7" w:rsidRPr="00BB5D86" w:rsidRDefault="00AD5D6A" w:rsidP="00473914">
      <w:pPr>
        <w:numPr>
          <w:ilvl w:val="0"/>
          <w:numId w:val="2"/>
        </w:numPr>
        <w:jc w:val="both"/>
        <w:rPr>
          <w:rFonts w:asciiTheme="minorHAnsi" w:hAnsiTheme="minorHAnsi" w:cstheme="minorHAnsi"/>
          <w:sz w:val="22"/>
          <w:lang w:val="en-US" w:eastAsia="en-AU"/>
        </w:rPr>
      </w:pPr>
      <w:r>
        <w:rPr>
          <w:rFonts w:asciiTheme="minorHAnsi" w:hAnsiTheme="minorHAnsi" w:cstheme="minorHAnsi"/>
          <w:sz w:val="22"/>
          <w:lang w:val="en-US" w:eastAsia="en-AU"/>
        </w:rPr>
        <w:t>Offer d</w:t>
      </w:r>
      <w:r w:rsidR="00DF32B7" w:rsidRPr="00BB5D86">
        <w:rPr>
          <w:rFonts w:asciiTheme="minorHAnsi" w:hAnsiTheme="minorHAnsi" w:cstheme="minorHAnsi"/>
          <w:sz w:val="22"/>
          <w:lang w:val="en-US" w:eastAsia="en-AU"/>
        </w:rPr>
        <w:t>ace-to-face career counseling for single parents and young people at risk</w:t>
      </w:r>
      <w:r>
        <w:rPr>
          <w:rFonts w:asciiTheme="minorHAnsi" w:hAnsiTheme="minorHAnsi" w:cstheme="minorHAnsi"/>
          <w:sz w:val="22"/>
          <w:lang w:val="en-US" w:eastAsia="en-AU"/>
        </w:rPr>
        <w:t>.</w:t>
      </w:r>
    </w:p>
    <w:p w:rsidR="00DF32B7" w:rsidRPr="00BB5D86" w:rsidRDefault="00AD5D6A" w:rsidP="00473914">
      <w:pPr>
        <w:numPr>
          <w:ilvl w:val="0"/>
          <w:numId w:val="2"/>
        </w:numPr>
        <w:jc w:val="both"/>
        <w:rPr>
          <w:rFonts w:asciiTheme="minorHAnsi" w:hAnsiTheme="minorHAnsi" w:cstheme="minorHAnsi"/>
          <w:sz w:val="22"/>
          <w:lang w:val="en-US" w:eastAsia="en-AU"/>
        </w:rPr>
      </w:pPr>
      <w:r>
        <w:rPr>
          <w:rFonts w:asciiTheme="minorHAnsi" w:hAnsiTheme="minorHAnsi" w:cstheme="minorHAnsi"/>
          <w:sz w:val="22"/>
          <w:lang w:val="en-US" w:eastAsia="en-AU"/>
        </w:rPr>
        <w:t xml:space="preserve">Offer </w:t>
      </w:r>
      <w:r w:rsidR="009334A3" w:rsidRPr="00BB5D86">
        <w:rPr>
          <w:rFonts w:asciiTheme="minorHAnsi" w:hAnsiTheme="minorHAnsi" w:cstheme="minorHAnsi"/>
          <w:sz w:val="22"/>
          <w:lang w:val="en-US" w:eastAsia="en-AU"/>
        </w:rPr>
        <w:t>job seekers</w:t>
      </w:r>
      <w:r w:rsidR="009334A3">
        <w:rPr>
          <w:rFonts w:asciiTheme="minorHAnsi" w:hAnsiTheme="minorHAnsi" w:cstheme="minorHAnsi"/>
          <w:sz w:val="22"/>
          <w:lang w:val="en-US" w:eastAsia="en-AU"/>
        </w:rPr>
        <w:t xml:space="preserve"> flexible activity</w:t>
      </w:r>
      <w:r w:rsidR="009334A3" w:rsidRPr="00BB5D86">
        <w:rPr>
          <w:rFonts w:asciiTheme="minorHAnsi" w:hAnsiTheme="minorHAnsi" w:cstheme="minorHAnsi"/>
          <w:sz w:val="22"/>
          <w:lang w:val="en-US" w:eastAsia="en-AU"/>
        </w:rPr>
        <w:t xml:space="preserve"> </w:t>
      </w:r>
      <w:r w:rsidR="009334A3">
        <w:rPr>
          <w:rFonts w:asciiTheme="minorHAnsi" w:hAnsiTheme="minorHAnsi" w:cstheme="minorHAnsi"/>
          <w:sz w:val="22"/>
          <w:lang w:val="en-US" w:eastAsia="en-AU"/>
        </w:rPr>
        <w:t>agreements and greater provider</w:t>
      </w:r>
      <w:r w:rsidR="00DF32B7" w:rsidRPr="00BB5D86">
        <w:rPr>
          <w:rFonts w:asciiTheme="minorHAnsi" w:hAnsiTheme="minorHAnsi" w:cstheme="minorHAnsi"/>
          <w:sz w:val="22"/>
          <w:lang w:val="en-US" w:eastAsia="en-AU"/>
        </w:rPr>
        <w:t xml:space="preserve"> choice.</w:t>
      </w:r>
    </w:p>
    <w:p w:rsidR="00DF32B7" w:rsidRPr="00BB5D86" w:rsidRDefault="00DF32B7" w:rsidP="00473914">
      <w:pPr>
        <w:jc w:val="both"/>
        <w:rPr>
          <w:rFonts w:asciiTheme="minorHAnsi" w:hAnsiTheme="minorHAnsi" w:cstheme="minorHAnsi"/>
          <w:bCs/>
          <w:iCs/>
          <w:sz w:val="22"/>
          <w:lang w:eastAsia="en-AU"/>
        </w:rPr>
      </w:pPr>
    </w:p>
    <w:p w:rsidR="00DF32B7" w:rsidRPr="00BB5D86" w:rsidRDefault="00460A55" w:rsidP="00473914">
      <w:pPr>
        <w:jc w:val="both"/>
        <w:rPr>
          <w:rFonts w:asciiTheme="minorHAnsi" w:hAnsiTheme="minorHAnsi" w:cstheme="minorHAnsi"/>
          <w:color w:val="auto"/>
          <w:sz w:val="22"/>
          <w:lang w:eastAsia="en-AU"/>
        </w:rPr>
      </w:pPr>
      <w:r>
        <w:rPr>
          <w:rFonts w:asciiTheme="minorHAnsi" w:hAnsiTheme="minorHAnsi" w:cstheme="minorHAnsi"/>
          <w:sz w:val="22"/>
          <w:lang w:eastAsia="en-AU"/>
        </w:rPr>
        <w:t>W</w:t>
      </w:r>
      <w:r w:rsidRPr="00BB5D86">
        <w:rPr>
          <w:rFonts w:asciiTheme="minorHAnsi" w:hAnsiTheme="minorHAnsi" w:cstheme="minorHAnsi"/>
          <w:sz w:val="22"/>
          <w:lang w:eastAsia="en-AU"/>
        </w:rPr>
        <w:t>ith over 250,000 people having been out of work for more than 24 months</w:t>
      </w:r>
      <w:r>
        <w:rPr>
          <w:rFonts w:asciiTheme="minorHAnsi" w:hAnsiTheme="minorHAnsi" w:cstheme="minorHAnsi"/>
          <w:sz w:val="22"/>
          <w:lang w:eastAsia="en-AU"/>
        </w:rPr>
        <w:t xml:space="preserve">, </w:t>
      </w:r>
      <w:r>
        <w:rPr>
          <w:rFonts w:asciiTheme="minorHAnsi" w:hAnsiTheme="minorHAnsi" w:cstheme="minorHAnsi"/>
          <w:bCs/>
          <w:iCs/>
          <w:sz w:val="22"/>
          <w:lang w:eastAsia="en-AU"/>
        </w:rPr>
        <w:t>i</w:t>
      </w:r>
      <w:r w:rsidR="001D5C3C" w:rsidRPr="00BB5D86">
        <w:rPr>
          <w:rFonts w:asciiTheme="minorHAnsi" w:hAnsiTheme="minorHAnsi" w:cstheme="minorHAnsi"/>
          <w:bCs/>
          <w:iCs/>
          <w:sz w:val="22"/>
          <w:lang w:eastAsia="en-AU"/>
        </w:rPr>
        <w:t>ncreased support</w:t>
      </w:r>
      <w:r w:rsidR="00FB0A5B" w:rsidRPr="00BB5D86">
        <w:rPr>
          <w:rFonts w:asciiTheme="minorHAnsi" w:hAnsiTheme="minorHAnsi" w:cstheme="minorHAnsi"/>
          <w:bCs/>
          <w:iCs/>
          <w:sz w:val="22"/>
          <w:lang w:eastAsia="en-AU"/>
        </w:rPr>
        <w:t xml:space="preserve"> is</w:t>
      </w:r>
      <w:r w:rsidR="009C55B3" w:rsidRPr="00BB5D86">
        <w:rPr>
          <w:rFonts w:asciiTheme="minorHAnsi" w:hAnsiTheme="minorHAnsi" w:cstheme="minorHAnsi"/>
          <w:bCs/>
          <w:iCs/>
          <w:sz w:val="22"/>
          <w:lang w:eastAsia="en-AU"/>
        </w:rPr>
        <w:t xml:space="preserve"> need</w:t>
      </w:r>
      <w:r w:rsidR="00FB0A5B" w:rsidRPr="00BB5D86">
        <w:rPr>
          <w:rFonts w:asciiTheme="minorHAnsi" w:hAnsiTheme="minorHAnsi" w:cstheme="minorHAnsi"/>
          <w:bCs/>
          <w:iCs/>
          <w:sz w:val="22"/>
          <w:lang w:eastAsia="en-AU"/>
        </w:rPr>
        <w:t>ed</w:t>
      </w:r>
      <w:r w:rsidR="009C55B3" w:rsidRPr="00BB5D86">
        <w:rPr>
          <w:rFonts w:asciiTheme="minorHAnsi" w:hAnsiTheme="minorHAnsi" w:cstheme="minorHAnsi"/>
          <w:bCs/>
          <w:iCs/>
          <w:sz w:val="22"/>
          <w:lang w:eastAsia="en-AU"/>
        </w:rPr>
        <w:t xml:space="preserve"> </w:t>
      </w:r>
      <w:r w:rsidR="00FB0A5B" w:rsidRPr="00BB5D86">
        <w:rPr>
          <w:rFonts w:asciiTheme="minorHAnsi" w:hAnsiTheme="minorHAnsi" w:cstheme="minorHAnsi"/>
          <w:bCs/>
          <w:iCs/>
          <w:sz w:val="22"/>
          <w:lang w:eastAsia="en-AU"/>
        </w:rPr>
        <w:t>to</w:t>
      </w:r>
      <w:r w:rsidR="009C55B3" w:rsidRPr="00BB5D86">
        <w:rPr>
          <w:rFonts w:asciiTheme="minorHAnsi" w:hAnsiTheme="minorHAnsi" w:cstheme="minorHAnsi"/>
          <w:bCs/>
          <w:iCs/>
          <w:sz w:val="22"/>
          <w:lang w:eastAsia="en-AU"/>
        </w:rPr>
        <w:t xml:space="preserve"> reduce the numbers of long term unemployed</w:t>
      </w:r>
      <w:r w:rsidR="001D5C3C" w:rsidRPr="00BB5D86">
        <w:rPr>
          <w:rFonts w:asciiTheme="minorHAnsi" w:hAnsiTheme="minorHAnsi" w:cstheme="minorHAnsi"/>
          <w:bCs/>
          <w:iCs/>
          <w:sz w:val="22"/>
          <w:lang w:eastAsia="en-AU"/>
        </w:rPr>
        <w:t xml:space="preserve"> in Australia</w:t>
      </w:r>
      <w:r w:rsidR="009C55B3" w:rsidRPr="00BB5D86">
        <w:rPr>
          <w:rFonts w:asciiTheme="minorHAnsi" w:hAnsiTheme="minorHAnsi" w:cstheme="minorHAnsi"/>
          <w:bCs/>
          <w:iCs/>
          <w:sz w:val="22"/>
          <w:lang w:eastAsia="en-AU"/>
        </w:rPr>
        <w:t>.</w:t>
      </w:r>
      <w:r w:rsidR="00BC2BDF" w:rsidRPr="00BB5D86">
        <w:rPr>
          <w:rFonts w:asciiTheme="minorHAnsi" w:hAnsiTheme="minorHAnsi" w:cstheme="minorHAnsi"/>
          <w:bCs/>
          <w:iCs/>
          <w:sz w:val="22"/>
          <w:lang w:eastAsia="en-AU"/>
        </w:rPr>
        <w:t xml:space="preserve"> </w:t>
      </w:r>
      <w:r w:rsidR="00DF32B7" w:rsidRPr="00BB5D86">
        <w:rPr>
          <w:rFonts w:asciiTheme="minorHAnsi" w:hAnsiTheme="minorHAnsi" w:cstheme="minorHAnsi"/>
          <w:sz w:val="22"/>
          <w:lang w:eastAsia="en-AU"/>
        </w:rPr>
        <w:t xml:space="preserve">Job seekers who undertook vocational training during 2011-12 had a 32% chance of being employed three months later, compared with </w:t>
      </w:r>
      <w:r w:rsidR="00C3374D">
        <w:rPr>
          <w:rFonts w:asciiTheme="minorHAnsi" w:hAnsiTheme="minorHAnsi" w:cstheme="minorHAnsi"/>
          <w:sz w:val="22"/>
          <w:lang w:eastAsia="en-AU"/>
        </w:rPr>
        <w:t>22% of Work For T</w:t>
      </w:r>
      <w:r w:rsidR="00DF32B7" w:rsidRPr="00BB5D86">
        <w:rPr>
          <w:rFonts w:asciiTheme="minorHAnsi" w:hAnsiTheme="minorHAnsi" w:cstheme="minorHAnsi"/>
          <w:sz w:val="22"/>
          <w:lang w:eastAsia="en-AU"/>
        </w:rPr>
        <w:t>he Dole participants</w:t>
      </w:r>
      <w:r w:rsidR="0073516E">
        <w:rPr>
          <w:rStyle w:val="FootnoteReference"/>
          <w:rFonts w:asciiTheme="minorHAnsi" w:hAnsiTheme="minorHAnsi" w:cstheme="minorHAnsi"/>
          <w:sz w:val="22"/>
          <w:lang w:eastAsia="en-AU"/>
        </w:rPr>
        <w:footnoteReference w:id="11"/>
      </w:r>
      <w:r w:rsidR="00DF32B7" w:rsidRPr="00BB5D86">
        <w:rPr>
          <w:rFonts w:asciiTheme="minorHAnsi" w:hAnsiTheme="minorHAnsi" w:cstheme="minorHAnsi"/>
          <w:color w:val="auto"/>
          <w:sz w:val="22"/>
          <w:lang w:eastAsia="en-AU"/>
        </w:rPr>
        <w:t xml:space="preserve">. </w:t>
      </w:r>
      <w:r w:rsidR="00AD5D6A">
        <w:rPr>
          <w:rFonts w:asciiTheme="minorHAnsi" w:hAnsiTheme="minorHAnsi" w:cstheme="minorHAnsi"/>
          <w:color w:val="auto"/>
          <w:sz w:val="22"/>
          <w:lang w:eastAsia="en-AU"/>
        </w:rPr>
        <w:t>The evidence shows</w:t>
      </w:r>
      <w:r w:rsidR="00DF32B7" w:rsidRPr="00BB5D86">
        <w:rPr>
          <w:rFonts w:asciiTheme="minorHAnsi" w:hAnsiTheme="minorHAnsi" w:cstheme="minorHAnsi"/>
          <w:color w:val="auto"/>
          <w:sz w:val="22"/>
          <w:lang w:eastAsia="en-AU"/>
        </w:rPr>
        <w:t xml:space="preserve"> </w:t>
      </w:r>
      <w:r w:rsidR="00547570" w:rsidRPr="00BB5D86">
        <w:rPr>
          <w:rFonts w:asciiTheme="minorHAnsi" w:hAnsiTheme="minorHAnsi" w:cstheme="minorHAnsi"/>
          <w:color w:val="auto"/>
          <w:sz w:val="22"/>
          <w:lang w:eastAsia="en-AU"/>
        </w:rPr>
        <w:t>that vocational training generates better outcomes</w:t>
      </w:r>
      <w:r w:rsidR="00BA710C" w:rsidRPr="00BB5D86">
        <w:rPr>
          <w:rFonts w:asciiTheme="minorHAnsi" w:hAnsiTheme="minorHAnsi" w:cstheme="minorHAnsi"/>
          <w:color w:val="auto"/>
          <w:sz w:val="22"/>
          <w:lang w:eastAsia="en-AU"/>
        </w:rPr>
        <w:t xml:space="preserve"> for job seekers</w:t>
      </w:r>
      <w:r w:rsidR="00DC03CC">
        <w:rPr>
          <w:rFonts w:asciiTheme="minorHAnsi" w:hAnsiTheme="minorHAnsi" w:cstheme="minorHAnsi"/>
          <w:color w:val="auto"/>
          <w:sz w:val="22"/>
          <w:lang w:eastAsia="en-AU"/>
        </w:rPr>
        <w:t xml:space="preserve"> </w:t>
      </w:r>
      <w:r w:rsidR="00FE420F">
        <w:rPr>
          <w:rFonts w:asciiTheme="minorHAnsi" w:hAnsiTheme="minorHAnsi" w:cstheme="minorHAnsi"/>
          <w:color w:val="auto"/>
          <w:sz w:val="22"/>
          <w:lang w:eastAsia="en-AU"/>
        </w:rPr>
        <w:t>than Work</w:t>
      </w:r>
      <w:r w:rsidR="00C3374D">
        <w:rPr>
          <w:rFonts w:asciiTheme="minorHAnsi" w:hAnsiTheme="minorHAnsi" w:cstheme="minorHAnsi"/>
          <w:color w:val="auto"/>
          <w:sz w:val="22"/>
          <w:lang w:eastAsia="en-AU"/>
        </w:rPr>
        <w:t xml:space="preserve"> For T</w:t>
      </w:r>
      <w:r w:rsidR="00DC03CC">
        <w:rPr>
          <w:rFonts w:asciiTheme="minorHAnsi" w:hAnsiTheme="minorHAnsi" w:cstheme="minorHAnsi"/>
          <w:color w:val="auto"/>
          <w:sz w:val="22"/>
          <w:lang w:eastAsia="en-AU"/>
        </w:rPr>
        <w:t xml:space="preserve">he Dole </w:t>
      </w:r>
      <w:r w:rsidR="008A3613">
        <w:rPr>
          <w:rFonts w:asciiTheme="minorHAnsi" w:hAnsiTheme="minorHAnsi" w:cstheme="minorHAnsi"/>
          <w:color w:val="auto"/>
          <w:sz w:val="22"/>
          <w:lang w:eastAsia="en-AU"/>
        </w:rPr>
        <w:t>programs</w:t>
      </w:r>
      <w:r w:rsidR="00DC03CC">
        <w:rPr>
          <w:rFonts w:asciiTheme="minorHAnsi" w:hAnsiTheme="minorHAnsi" w:cstheme="minorHAnsi"/>
          <w:color w:val="auto"/>
          <w:sz w:val="22"/>
          <w:lang w:eastAsia="en-AU"/>
        </w:rPr>
        <w:t>.</w:t>
      </w:r>
    </w:p>
    <w:p w:rsidR="00DF32B7" w:rsidRPr="00BB5D86" w:rsidRDefault="00DF32B7" w:rsidP="00473914">
      <w:pPr>
        <w:jc w:val="both"/>
        <w:rPr>
          <w:rFonts w:asciiTheme="minorHAnsi" w:hAnsiTheme="minorHAnsi" w:cstheme="minorHAnsi"/>
          <w:sz w:val="22"/>
          <w:lang w:eastAsia="en-AU"/>
        </w:rPr>
      </w:pPr>
    </w:p>
    <w:p w:rsidR="00DF32B7" w:rsidRPr="00BB5D86" w:rsidRDefault="00DF32B7" w:rsidP="00473914">
      <w:pPr>
        <w:jc w:val="both"/>
        <w:rPr>
          <w:rFonts w:asciiTheme="minorHAnsi" w:hAnsiTheme="minorHAnsi" w:cstheme="minorHAnsi"/>
          <w:sz w:val="22"/>
          <w:lang w:eastAsia="en-AU"/>
        </w:rPr>
      </w:pPr>
      <w:r w:rsidRPr="00BB5D86">
        <w:rPr>
          <w:rFonts w:asciiTheme="minorHAnsi" w:hAnsiTheme="minorHAnsi" w:cstheme="minorHAnsi"/>
          <w:sz w:val="22"/>
          <w:lang w:eastAsia="en-AU"/>
        </w:rPr>
        <w:t xml:space="preserve">The job outcomes were extremely disappointing for very long term unemployed </w:t>
      </w:r>
      <w:r w:rsidR="00FD2C3B" w:rsidRPr="00BB5D86">
        <w:rPr>
          <w:rFonts w:asciiTheme="minorHAnsi" w:hAnsiTheme="minorHAnsi" w:cstheme="minorHAnsi"/>
          <w:sz w:val="22"/>
          <w:lang w:eastAsia="en-AU"/>
        </w:rPr>
        <w:t xml:space="preserve">people </w:t>
      </w:r>
      <w:r w:rsidRPr="00BB5D86">
        <w:rPr>
          <w:rFonts w:asciiTheme="minorHAnsi" w:hAnsiTheme="minorHAnsi" w:cstheme="minorHAnsi"/>
          <w:sz w:val="22"/>
          <w:lang w:eastAsia="en-AU"/>
        </w:rPr>
        <w:t xml:space="preserve">who had spent three months </w:t>
      </w:r>
      <w:r w:rsidR="00C3374D">
        <w:rPr>
          <w:rFonts w:asciiTheme="minorHAnsi" w:hAnsiTheme="minorHAnsi" w:cstheme="minorHAnsi"/>
          <w:sz w:val="22"/>
          <w:lang w:eastAsia="en-AU"/>
        </w:rPr>
        <w:t>in Work F</w:t>
      </w:r>
      <w:r w:rsidR="00173947" w:rsidRPr="00BB5D86">
        <w:rPr>
          <w:rFonts w:asciiTheme="minorHAnsi" w:hAnsiTheme="minorHAnsi" w:cstheme="minorHAnsi"/>
          <w:sz w:val="22"/>
          <w:lang w:eastAsia="en-AU"/>
        </w:rPr>
        <w:t>or The Dole programs, with j</w:t>
      </w:r>
      <w:r w:rsidRPr="00BB5D86">
        <w:rPr>
          <w:rFonts w:asciiTheme="minorHAnsi" w:hAnsiTheme="minorHAnsi" w:cstheme="minorHAnsi"/>
          <w:sz w:val="22"/>
          <w:lang w:eastAsia="en-AU"/>
        </w:rPr>
        <w:t xml:space="preserve">ust 20.8% of participants </w:t>
      </w:r>
      <w:r w:rsidR="00173947" w:rsidRPr="00BB5D86">
        <w:rPr>
          <w:rFonts w:asciiTheme="minorHAnsi" w:hAnsiTheme="minorHAnsi" w:cstheme="minorHAnsi"/>
          <w:sz w:val="22"/>
          <w:lang w:eastAsia="en-AU"/>
        </w:rPr>
        <w:t>in employment.</w:t>
      </w:r>
      <w:r w:rsidRPr="00BB5D86">
        <w:rPr>
          <w:rFonts w:asciiTheme="minorHAnsi" w:hAnsiTheme="minorHAnsi" w:cstheme="minorHAnsi"/>
          <w:sz w:val="22"/>
          <w:vertAlign w:val="superscript"/>
          <w:lang w:eastAsia="en-AU"/>
        </w:rPr>
        <w:footnoteReference w:id="12"/>
      </w:r>
    </w:p>
    <w:p w:rsidR="00401D50" w:rsidRPr="00BB5D86" w:rsidRDefault="00401D50" w:rsidP="00473914">
      <w:pPr>
        <w:jc w:val="both"/>
        <w:rPr>
          <w:rFonts w:asciiTheme="minorHAnsi" w:hAnsiTheme="minorHAnsi" w:cstheme="minorHAnsi"/>
          <w:sz w:val="22"/>
          <w:lang w:eastAsia="en-AU"/>
        </w:rPr>
      </w:pPr>
    </w:p>
    <w:p w:rsidR="00C3374D" w:rsidRDefault="00C46A83" w:rsidP="00C3374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lang w:eastAsia="en-AU"/>
        </w:rPr>
      </w:pPr>
      <w:r w:rsidRPr="00D3169B">
        <w:rPr>
          <w:rFonts w:asciiTheme="minorHAnsi" w:hAnsiTheme="minorHAnsi" w:cstheme="minorHAnsi"/>
          <w:b/>
          <w:sz w:val="22"/>
          <w:lang w:eastAsia="en-AU"/>
        </w:rPr>
        <w:t>Recommendation</w:t>
      </w:r>
      <w:r w:rsidR="000966B1" w:rsidRPr="00D3169B">
        <w:rPr>
          <w:rFonts w:asciiTheme="minorHAnsi" w:hAnsiTheme="minorHAnsi" w:cstheme="minorHAnsi"/>
          <w:b/>
          <w:sz w:val="22"/>
          <w:lang w:eastAsia="en-AU"/>
        </w:rPr>
        <w:t xml:space="preserve"> #5</w:t>
      </w:r>
      <w:r w:rsidRPr="00D3169B">
        <w:rPr>
          <w:rFonts w:asciiTheme="minorHAnsi" w:hAnsiTheme="minorHAnsi" w:cstheme="minorHAnsi"/>
          <w:b/>
          <w:sz w:val="22"/>
          <w:lang w:eastAsia="en-AU"/>
        </w:rPr>
        <w:t>:</w:t>
      </w:r>
      <w:r w:rsidRPr="00D3169B">
        <w:rPr>
          <w:rFonts w:asciiTheme="minorHAnsi" w:hAnsiTheme="minorHAnsi" w:cstheme="minorHAnsi"/>
          <w:sz w:val="22"/>
          <w:lang w:eastAsia="en-AU"/>
        </w:rPr>
        <w:t xml:space="preserve"> That 20,000 </w:t>
      </w:r>
      <w:r w:rsidR="00173947" w:rsidRPr="00D3169B">
        <w:rPr>
          <w:rFonts w:asciiTheme="minorHAnsi" w:hAnsiTheme="minorHAnsi" w:cstheme="minorHAnsi"/>
          <w:sz w:val="22"/>
          <w:lang w:eastAsia="en-AU"/>
        </w:rPr>
        <w:t xml:space="preserve">six-monthly </w:t>
      </w:r>
      <w:r w:rsidRPr="00D3169B">
        <w:rPr>
          <w:rFonts w:asciiTheme="minorHAnsi" w:hAnsiTheme="minorHAnsi" w:cstheme="minorHAnsi"/>
          <w:sz w:val="22"/>
          <w:lang w:eastAsia="en-AU"/>
        </w:rPr>
        <w:t xml:space="preserve">‘wage subsidy’ </w:t>
      </w:r>
      <w:r w:rsidR="00173947" w:rsidRPr="00D3169B">
        <w:rPr>
          <w:rFonts w:asciiTheme="minorHAnsi" w:hAnsiTheme="minorHAnsi" w:cstheme="minorHAnsi"/>
          <w:sz w:val="22"/>
          <w:lang w:eastAsia="en-AU"/>
        </w:rPr>
        <w:t>placements</w:t>
      </w:r>
      <w:r w:rsidRPr="00D3169B">
        <w:rPr>
          <w:rFonts w:asciiTheme="minorHAnsi" w:hAnsiTheme="minorHAnsi" w:cstheme="minorHAnsi"/>
          <w:sz w:val="22"/>
          <w:lang w:eastAsia="en-AU"/>
        </w:rPr>
        <w:t xml:space="preserve"> be available </w:t>
      </w:r>
      <w:r w:rsidR="00173947" w:rsidRPr="00D3169B">
        <w:rPr>
          <w:rFonts w:asciiTheme="minorHAnsi" w:hAnsiTheme="minorHAnsi" w:cstheme="minorHAnsi"/>
          <w:sz w:val="22"/>
          <w:lang w:eastAsia="en-AU"/>
        </w:rPr>
        <w:t>over the next four years</w:t>
      </w:r>
      <w:r w:rsidR="008A3613" w:rsidRPr="00D3169B">
        <w:rPr>
          <w:rFonts w:asciiTheme="minorHAnsi" w:hAnsiTheme="minorHAnsi" w:cstheme="minorHAnsi"/>
          <w:sz w:val="22"/>
          <w:lang w:eastAsia="en-AU"/>
        </w:rPr>
        <w:t xml:space="preserve"> for </w:t>
      </w:r>
      <w:r w:rsidRPr="00D3169B">
        <w:rPr>
          <w:rFonts w:asciiTheme="minorHAnsi" w:hAnsiTheme="minorHAnsi" w:cstheme="minorHAnsi"/>
          <w:sz w:val="22"/>
          <w:lang w:eastAsia="en-AU"/>
        </w:rPr>
        <w:t>very long term unemployed people who have been looking for work for over two years.</w:t>
      </w:r>
    </w:p>
    <w:p w:rsidR="00C3374D" w:rsidRPr="00D3169B" w:rsidRDefault="00C3374D" w:rsidP="00473914">
      <w:pPr>
        <w:jc w:val="both"/>
        <w:rPr>
          <w:rFonts w:asciiTheme="minorHAnsi" w:hAnsiTheme="minorHAnsi" w:cstheme="minorHAnsi"/>
          <w:sz w:val="22"/>
          <w:lang w:eastAsia="en-AU"/>
        </w:rPr>
      </w:pPr>
    </w:p>
    <w:p w:rsidR="00C3374D" w:rsidRDefault="00C46A83" w:rsidP="00C3374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lang w:eastAsia="en-AU"/>
        </w:rPr>
      </w:pPr>
      <w:r w:rsidRPr="00D3169B">
        <w:rPr>
          <w:rFonts w:asciiTheme="minorHAnsi" w:hAnsiTheme="minorHAnsi" w:cstheme="minorHAnsi"/>
          <w:b/>
          <w:sz w:val="22"/>
          <w:lang w:eastAsia="en-AU"/>
        </w:rPr>
        <w:t>Recommendation</w:t>
      </w:r>
      <w:r w:rsidR="000966B1" w:rsidRPr="00D3169B">
        <w:rPr>
          <w:rFonts w:asciiTheme="minorHAnsi" w:hAnsiTheme="minorHAnsi" w:cstheme="minorHAnsi"/>
          <w:b/>
          <w:sz w:val="22"/>
          <w:lang w:eastAsia="en-AU"/>
        </w:rPr>
        <w:t xml:space="preserve"> #6</w:t>
      </w:r>
      <w:r w:rsidRPr="00D3169B">
        <w:rPr>
          <w:rFonts w:asciiTheme="minorHAnsi" w:hAnsiTheme="minorHAnsi" w:cstheme="minorHAnsi"/>
          <w:b/>
          <w:sz w:val="22"/>
          <w:lang w:eastAsia="en-AU"/>
        </w:rPr>
        <w:t>:</w:t>
      </w:r>
      <w:r w:rsidRPr="00D3169B">
        <w:rPr>
          <w:rFonts w:asciiTheme="minorHAnsi" w:hAnsiTheme="minorHAnsi" w:cstheme="minorHAnsi"/>
          <w:sz w:val="22"/>
          <w:lang w:eastAsia="en-AU"/>
        </w:rPr>
        <w:t xml:space="preserve"> That the Federal Government establish a dedicated </w:t>
      </w:r>
      <w:r w:rsidR="00173947" w:rsidRPr="00D3169B">
        <w:rPr>
          <w:rFonts w:asciiTheme="minorHAnsi" w:hAnsiTheme="minorHAnsi" w:cstheme="minorHAnsi"/>
          <w:sz w:val="22"/>
          <w:lang w:eastAsia="en-AU"/>
        </w:rPr>
        <w:t xml:space="preserve">six monthly </w:t>
      </w:r>
      <w:r w:rsidRPr="00D3169B">
        <w:rPr>
          <w:rFonts w:asciiTheme="minorHAnsi" w:hAnsiTheme="minorHAnsi" w:cstheme="minorHAnsi"/>
          <w:sz w:val="22"/>
          <w:lang w:eastAsia="en-AU"/>
        </w:rPr>
        <w:t xml:space="preserve">wage subsidy scheme </w:t>
      </w:r>
      <w:r w:rsidR="008A3613" w:rsidRPr="00D3169B">
        <w:rPr>
          <w:rFonts w:asciiTheme="minorHAnsi" w:hAnsiTheme="minorHAnsi" w:cstheme="minorHAnsi"/>
          <w:sz w:val="22"/>
          <w:lang w:eastAsia="en-AU"/>
        </w:rPr>
        <w:t>for</w:t>
      </w:r>
      <w:r w:rsidRPr="00D3169B">
        <w:rPr>
          <w:rFonts w:asciiTheme="minorHAnsi" w:hAnsiTheme="minorHAnsi" w:cstheme="minorHAnsi"/>
          <w:sz w:val="22"/>
          <w:lang w:eastAsia="en-AU"/>
        </w:rPr>
        <w:t xml:space="preserve"> young people under 22 years of age</w:t>
      </w:r>
      <w:r w:rsidR="007B6559" w:rsidRPr="00D3169B">
        <w:rPr>
          <w:rFonts w:asciiTheme="minorHAnsi" w:hAnsiTheme="minorHAnsi" w:cstheme="minorHAnsi"/>
          <w:sz w:val="22"/>
          <w:lang w:eastAsia="en-AU"/>
        </w:rPr>
        <w:t xml:space="preserve">.  The program would provide </w:t>
      </w:r>
      <w:r w:rsidRPr="00D3169B">
        <w:rPr>
          <w:rFonts w:asciiTheme="minorHAnsi" w:hAnsiTheme="minorHAnsi" w:cstheme="minorHAnsi"/>
          <w:sz w:val="22"/>
          <w:lang w:eastAsia="en-AU"/>
        </w:rPr>
        <w:t>1000 p</w:t>
      </w:r>
      <w:r w:rsidR="007B6559" w:rsidRPr="00D3169B">
        <w:rPr>
          <w:rFonts w:asciiTheme="minorHAnsi" w:hAnsiTheme="minorHAnsi" w:cstheme="minorHAnsi"/>
          <w:sz w:val="22"/>
          <w:lang w:eastAsia="en-AU"/>
        </w:rPr>
        <w:t>laces</w:t>
      </w:r>
      <w:r w:rsidRPr="00D3169B">
        <w:rPr>
          <w:rFonts w:asciiTheme="minorHAnsi" w:hAnsiTheme="minorHAnsi" w:cstheme="minorHAnsi"/>
          <w:sz w:val="22"/>
          <w:lang w:eastAsia="en-AU"/>
        </w:rPr>
        <w:t xml:space="preserve"> in </w:t>
      </w:r>
      <w:r w:rsidR="00173947" w:rsidRPr="00D3169B">
        <w:rPr>
          <w:rFonts w:asciiTheme="minorHAnsi" w:hAnsiTheme="minorHAnsi" w:cstheme="minorHAnsi"/>
          <w:sz w:val="22"/>
          <w:lang w:eastAsia="en-AU"/>
        </w:rPr>
        <w:t xml:space="preserve">five </w:t>
      </w:r>
      <w:r w:rsidRPr="00D3169B">
        <w:rPr>
          <w:rFonts w:asciiTheme="minorHAnsi" w:hAnsiTheme="minorHAnsi" w:cstheme="minorHAnsi"/>
          <w:sz w:val="22"/>
          <w:lang w:eastAsia="en-AU"/>
        </w:rPr>
        <w:t>areas of high levels of youth unemployment. T</w:t>
      </w:r>
      <w:r w:rsidR="007B6559" w:rsidRPr="00D3169B">
        <w:rPr>
          <w:rFonts w:asciiTheme="minorHAnsi" w:hAnsiTheme="minorHAnsi" w:cstheme="minorHAnsi"/>
          <w:sz w:val="22"/>
          <w:lang w:eastAsia="en-AU"/>
        </w:rPr>
        <w:t xml:space="preserve">hus, in total this </w:t>
      </w:r>
      <w:r w:rsidR="00173947" w:rsidRPr="00D3169B">
        <w:rPr>
          <w:rFonts w:asciiTheme="minorHAnsi" w:hAnsiTheme="minorHAnsi" w:cstheme="minorHAnsi"/>
          <w:i/>
          <w:sz w:val="22"/>
          <w:lang w:eastAsia="en-AU"/>
        </w:rPr>
        <w:t>Youth Futures</w:t>
      </w:r>
      <w:r w:rsidR="00173947" w:rsidRPr="00D3169B">
        <w:rPr>
          <w:rFonts w:asciiTheme="minorHAnsi" w:hAnsiTheme="minorHAnsi" w:cstheme="minorHAnsi"/>
          <w:sz w:val="22"/>
          <w:lang w:eastAsia="en-AU"/>
        </w:rPr>
        <w:t xml:space="preserve"> scheme </w:t>
      </w:r>
      <w:r w:rsidRPr="00D3169B">
        <w:rPr>
          <w:rFonts w:asciiTheme="minorHAnsi" w:hAnsiTheme="minorHAnsi" w:cstheme="minorHAnsi"/>
          <w:sz w:val="22"/>
          <w:lang w:eastAsia="en-AU"/>
        </w:rPr>
        <w:t>would offer 5,000 place</w:t>
      </w:r>
      <w:r w:rsidR="007B6559" w:rsidRPr="00D3169B">
        <w:rPr>
          <w:rFonts w:asciiTheme="minorHAnsi" w:hAnsiTheme="minorHAnsi" w:cstheme="minorHAnsi"/>
          <w:sz w:val="22"/>
          <w:lang w:eastAsia="en-AU"/>
        </w:rPr>
        <w:t xml:space="preserve">s </w:t>
      </w:r>
      <w:r w:rsidRPr="00D3169B">
        <w:rPr>
          <w:rFonts w:asciiTheme="minorHAnsi" w:hAnsiTheme="minorHAnsi" w:cstheme="minorHAnsi"/>
          <w:sz w:val="22"/>
          <w:lang w:eastAsia="en-AU"/>
        </w:rPr>
        <w:t>per annum.</w:t>
      </w:r>
      <w:bookmarkStart w:id="9" w:name="_Toc379199685"/>
    </w:p>
    <w:p w:rsidR="006F08BC" w:rsidRPr="00C3374D" w:rsidRDefault="00E40A44" w:rsidP="00C3374D">
      <w:pPr>
        <w:pStyle w:val="Heading3"/>
      </w:pPr>
      <w:r w:rsidRPr="00C3374D">
        <w:t>Maintain</w:t>
      </w:r>
      <w:r w:rsidR="006F08BC" w:rsidRPr="00C3374D">
        <w:t xml:space="preserve"> the </w:t>
      </w:r>
      <w:r w:rsidR="00807C6F" w:rsidRPr="00C3374D">
        <w:t>Income Support Bonus</w:t>
      </w:r>
      <w:r w:rsidR="006F08BC" w:rsidRPr="00C3374D">
        <w:t xml:space="preserve"> for people on </w:t>
      </w:r>
      <w:r w:rsidR="00807C6F" w:rsidRPr="00C3374D">
        <w:t>low incomes</w:t>
      </w:r>
      <w:bookmarkEnd w:id="9"/>
    </w:p>
    <w:p w:rsidR="00012394" w:rsidRDefault="00012394" w:rsidP="00012394">
      <w:pPr>
        <w:rPr>
          <w:lang w:eastAsia="en-AU"/>
        </w:rPr>
      </w:pPr>
    </w:p>
    <w:p w:rsidR="007B6559" w:rsidRDefault="007B6559" w:rsidP="00012394">
      <w:pPr>
        <w:rPr>
          <w:rFonts w:asciiTheme="minorHAnsi" w:hAnsiTheme="minorHAnsi" w:cstheme="minorHAnsi"/>
          <w:sz w:val="22"/>
          <w:szCs w:val="22"/>
          <w:lang w:eastAsia="en-AU"/>
        </w:rPr>
      </w:pPr>
      <w:r w:rsidRPr="00FE420F">
        <w:rPr>
          <w:rFonts w:asciiTheme="minorHAnsi" w:hAnsiTheme="minorHAnsi" w:cstheme="minorHAnsi"/>
          <w:sz w:val="22"/>
          <w:szCs w:val="22"/>
          <w:lang w:eastAsia="en-AU"/>
        </w:rPr>
        <w:t xml:space="preserve">The </w:t>
      </w:r>
      <w:r>
        <w:rPr>
          <w:rFonts w:asciiTheme="minorHAnsi" w:hAnsiTheme="minorHAnsi" w:cstheme="minorHAnsi"/>
          <w:sz w:val="22"/>
          <w:szCs w:val="22"/>
          <w:lang w:eastAsia="en-AU"/>
        </w:rPr>
        <w:t xml:space="preserve">NWRN calls for Allowances to be increased by $50 per week (see page </w:t>
      </w:r>
      <w:r w:rsidR="009F0604">
        <w:rPr>
          <w:rFonts w:asciiTheme="minorHAnsi" w:hAnsiTheme="minorHAnsi" w:cstheme="minorHAnsi"/>
          <w:sz w:val="22"/>
          <w:szCs w:val="22"/>
          <w:lang w:eastAsia="en-AU"/>
        </w:rPr>
        <w:t>7</w:t>
      </w:r>
      <w:r>
        <w:rPr>
          <w:rFonts w:asciiTheme="minorHAnsi" w:hAnsiTheme="minorHAnsi" w:cstheme="minorHAnsi"/>
          <w:sz w:val="22"/>
          <w:szCs w:val="22"/>
          <w:lang w:eastAsia="en-AU"/>
        </w:rPr>
        <w:t xml:space="preserve"> above). </w:t>
      </w:r>
      <w:r w:rsidR="001C1DC0">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 xml:space="preserve"> </w:t>
      </w:r>
    </w:p>
    <w:p w:rsidR="001C1DC0" w:rsidRDefault="001C1DC0" w:rsidP="00012394">
      <w:pPr>
        <w:rPr>
          <w:rFonts w:asciiTheme="minorHAnsi" w:hAnsiTheme="minorHAnsi" w:cstheme="minorHAnsi"/>
          <w:sz w:val="22"/>
          <w:szCs w:val="22"/>
          <w:lang w:eastAsia="en-AU"/>
        </w:rPr>
      </w:pPr>
    </w:p>
    <w:p w:rsidR="001C1DC0" w:rsidRPr="009B0456" w:rsidRDefault="001C1DC0" w:rsidP="001C1DC0">
      <w:pPr>
        <w:jc w:val="both"/>
        <w:rPr>
          <w:rFonts w:asciiTheme="minorHAnsi" w:hAnsiTheme="minorHAnsi" w:cstheme="minorHAnsi"/>
          <w:sz w:val="22"/>
          <w:lang w:eastAsia="en-AU"/>
        </w:rPr>
      </w:pPr>
      <w:r>
        <w:rPr>
          <w:rFonts w:asciiTheme="minorHAnsi" w:hAnsiTheme="minorHAnsi" w:cstheme="minorHAnsi"/>
          <w:sz w:val="22"/>
        </w:rPr>
        <w:t xml:space="preserve">The </w:t>
      </w:r>
      <w:r w:rsidRPr="003075EF">
        <w:rPr>
          <w:rFonts w:asciiTheme="minorHAnsi" w:hAnsiTheme="minorHAnsi" w:cstheme="minorHAnsi"/>
          <w:sz w:val="22"/>
        </w:rPr>
        <w:t xml:space="preserve">Government should </w:t>
      </w:r>
      <w:r>
        <w:rPr>
          <w:rFonts w:asciiTheme="minorHAnsi" w:hAnsiTheme="minorHAnsi" w:cstheme="minorHAnsi"/>
          <w:sz w:val="22"/>
        </w:rPr>
        <w:t xml:space="preserve">also </w:t>
      </w:r>
      <w:r w:rsidRPr="003075EF">
        <w:rPr>
          <w:rFonts w:asciiTheme="minorHAnsi" w:hAnsiTheme="minorHAnsi" w:cstheme="minorHAnsi"/>
          <w:sz w:val="22"/>
        </w:rPr>
        <w:t>continue to provide</w:t>
      </w:r>
      <w:r>
        <w:rPr>
          <w:rFonts w:asciiTheme="minorHAnsi" w:hAnsiTheme="minorHAnsi" w:cstheme="minorHAnsi"/>
          <w:sz w:val="22"/>
        </w:rPr>
        <w:t xml:space="preserve"> the twice yearly Income Support Bonus to recipients of Parenting Payment.  In addition, in the event that the Government fails to act on the calls to increase Allowances substantially, then </w:t>
      </w:r>
      <w:r w:rsidR="00FE420F">
        <w:rPr>
          <w:rFonts w:asciiTheme="minorHAnsi" w:hAnsiTheme="minorHAnsi" w:cstheme="minorHAnsi"/>
          <w:sz w:val="22"/>
        </w:rPr>
        <w:t xml:space="preserve">the </w:t>
      </w:r>
      <w:r w:rsidR="00FE420F" w:rsidRPr="003075EF">
        <w:rPr>
          <w:rFonts w:asciiTheme="minorHAnsi" w:hAnsiTheme="minorHAnsi" w:cstheme="minorHAnsi"/>
          <w:sz w:val="22"/>
        </w:rPr>
        <w:t>Income</w:t>
      </w:r>
      <w:r>
        <w:rPr>
          <w:rFonts w:asciiTheme="minorHAnsi" w:hAnsiTheme="minorHAnsi" w:cstheme="minorHAnsi"/>
          <w:sz w:val="22"/>
        </w:rPr>
        <w:t xml:space="preserve"> Support Bonus should be retained for all those who would have been eligible. </w:t>
      </w:r>
    </w:p>
    <w:p w:rsidR="001C1DC0" w:rsidRPr="00FE420F" w:rsidRDefault="001C1DC0" w:rsidP="00012394">
      <w:pPr>
        <w:rPr>
          <w:rFonts w:asciiTheme="minorHAnsi" w:hAnsiTheme="minorHAnsi" w:cstheme="minorHAnsi"/>
          <w:sz w:val="22"/>
          <w:szCs w:val="22"/>
          <w:lang w:eastAsia="en-AU"/>
        </w:rPr>
      </w:pPr>
    </w:p>
    <w:p w:rsidR="006F08BC" w:rsidRPr="00BB5D86" w:rsidRDefault="006F08BC" w:rsidP="006F08BC">
      <w:pPr>
        <w:jc w:val="both"/>
        <w:rPr>
          <w:rStyle w:val="articletemplatetext"/>
          <w:rFonts w:asciiTheme="minorHAnsi" w:eastAsia="Calibri" w:hAnsiTheme="minorHAnsi" w:cstheme="minorHAnsi"/>
          <w:sz w:val="22"/>
        </w:rPr>
      </w:pPr>
      <w:r w:rsidRPr="00BB5D86">
        <w:rPr>
          <w:rStyle w:val="articletemplatetext"/>
          <w:rFonts w:asciiTheme="minorHAnsi" w:eastAsia="Calibri" w:hAnsiTheme="minorHAnsi" w:cstheme="minorHAnsi"/>
          <w:sz w:val="22"/>
        </w:rPr>
        <w:t xml:space="preserve">The Income Support Bonus is paid to 1.1 million low income Australians, primarily Newstart Allowance (NSA) and Youth Allowance (YA) recipients. The Income Support Bonus was introduced last year in recognition of the fact that the current rates of income support Allowance payments are manifestly inadequate. </w:t>
      </w:r>
    </w:p>
    <w:p w:rsidR="006F08BC" w:rsidRPr="00BB5D86" w:rsidRDefault="006F08BC" w:rsidP="006F08BC">
      <w:pPr>
        <w:jc w:val="both"/>
        <w:rPr>
          <w:rStyle w:val="articletemplatetext"/>
          <w:rFonts w:asciiTheme="minorHAnsi" w:eastAsia="Calibri" w:hAnsiTheme="minorHAnsi" w:cstheme="minorHAnsi"/>
          <w:sz w:val="22"/>
        </w:rPr>
      </w:pPr>
    </w:p>
    <w:p w:rsidR="006F08BC" w:rsidRPr="00BB5D86" w:rsidRDefault="00631487" w:rsidP="006F08BC">
      <w:pPr>
        <w:jc w:val="both"/>
        <w:rPr>
          <w:rStyle w:val="articletemplatetext"/>
          <w:rFonts w:asciiTheme="minorHAnsi" w:eastAsia="Calibri" w:hAnsiTheme="minorHAnsi" w:cstheme="minorHAnsi"/>
          <w:sz w:val="22"/>
        </w:rPr>
      </w:pPr>
      <w:r w:rsidRPr="00BB5D86">
        <w:rPr>
          <w:rFonts w:asciiTheme="minorHAnsi" w:hAnsiTheme="minorHAnsi" w:cstheme="minorHAnsi"/>
          <w:sz w:val="22"/>
        </w:rPr>
        <w:t>Currently,</w:t>
      </w:r>
      <w:r w:rsidR="00173947" w:rsidRPr="00BB5D86">
        <w:rPr>
          <w:rFonts w:asciiTheme="minorHAnsi" w:hAnsiTheme="minorHAnsi" w:cstheme="minorHAnsi"/>
          <w:sz w:val="22"/>
        </w:rPr>
        <w:t xml:space="preserve"> </w:t>
      </w:r>
      <w:r w:rsidR="00376565" w:rsidRPr="00BB5D86">
        <w:rPr>
          <w:rFonts w:asciiTheme="minorHAnsi" w:hAnsiTheme="minorHAnsi" w:cstheme="minorHAnsi"/>
          <w:sz w:val="22"/>
        </w:rPr>
        <w:t xml:space="preserve">the </w:t>
      </w:r>
      <w:r w:rsidRPr="00BB5D86">
        <w:rPr>
          <w:rFonts w:asciiTheme="minorHAnsi" w:hAnsiTheme="minorHAnsi" w:cstheme="minorHAnsi"/>
          <w:sz w:val="22"/>
        </w:rPr>
        <w:t>Income Support Bonus provides $211.16</w:t>
      </w:r>
      <w:r w:rsidR="006F08BC" w:rsidRPr="00BB5D86">
        <w:rPr>
          <w:rFonts w:asciiTheme="minorHAnsi" w:hAnsiTheme="minorHAnsi" w:cstheme="minorHAnsi"/>
          <w:sz w:val="22"/>
        </w:rPr>
        <w:t xml:space="preserve"> a ye</w:t>
      </w:r>
      <w:r w:rsidRPr="00BB5D86">
        <w:rPr>
          <w:rFonts w:asciiTheme="minorHAnsi" w:hAnsiTheme="minorHAnsi" w:cstheme="minorHAnsi"/>
          <w:sz w:val="22"/>
        </w:rPr>
        <w:t>ar to single recipients and $352.80</w:t>
      </w:r>
      <w:r w:rsidR="006F08BC" w:rsidRPr="00BB5D86">
        <w:rPr>
          <w:rFonts w:asciiTheme="minorHAnsi" w:hAnsiTheme="minorHAnsi" w:cstheme="minorHAnsi"/>
          <w:sz w:val="22"/>
        </w:rPr>
        <w:t xml:space="preserve"> a year for couples where both partners are eligible. </w:t>
      </w:r>
      <w:r w:rsidR="006F08BC" w:rsidRPr="00BB5D86">
        <w:rPr>
          <w:rStyle w:val="articletemplatetext"/>
          <w:rFonts w:asciiTheme="minorHAnsi" w:eastAsia="Calibri" w:hAnsiTheme="minorHAnsi" w:cstheme="minorHAnsi"/>
          <w:sz w:val="22"/>
        </w:rPr>
        <w:t>The total cost of this bonus is $300 million per annum.</w:t>
      </w:r>
      <w:r w:rsidR="006B437A">
        <w:rPr>
          <w:rStyle w:val="articletemplatetext"/>
          <w:rFonts w:asciiTheme="minorHAnsi" w:eastAsia="Calibri" w:hAnsiTheme="minorHAnsi" w:cstheme="minorHAnsi"/>
          <w:sz w:val="22"/>
        </w:rPr>
        <w:t xml:space="preserve"> The Government</w:t>
      </w:r>
      <w:r w:rsidR="001C1DC0">
        <w:rPr>
          <w:rStyle w:val="articletemplatetext"/>
          <w:rFonts w:asciiTheme="minorHAnsi" w:eastAsia="Calibri" w:hAnsiTheme="minorHAnsi" w:cstheme="minorHAnsi"/>
          <w:sz w:val="22"/>
        </w:rPr>
        <w:t xml:space="preserve"> is</w:t>
      </w:r>
      <w:r w:rsidR="006B437A">
        <w:rPr>
          <w:rStyle w:val="articletemplatetext"/>
          <w:rFonts w:asciiTheme="minorHAnsi" w:eastAsia="Calibri" w:hAnsiTheme="minorHAnsi" w:cstheme="minorHAnsi"/>
          <w:sz w:val="22"/>
        </w:rPr>
        <w:t xml:space="preserve"> removing the bonus</w:t>
      </w:r>
      <w:r w:rsidR="001C1DC0">
        <w:rPr>
          <w:rStyle w:val="articletemplatetext"/>
          <w:rFonts w:asciiTheme="minorHAnsi" w:eastAsia="Calibri" w:hAnsiTheme="minorHAnsi" w:cstheme="minorHAnsi"/>
          <w:sz w:val="22"/>
        </w:rPr>
        <w:t xml:space="preserve"> on the </w:t>
      </w:r>
      <w:r w:rsidR="00FE420F">
        <w:rPr>
          <w:rStyle w:val="articletemplatetext"/>
          <w:rFonts w:asciiTheme="minorHAnsi" w:eastAsia="Calibri" w:hAnsiTheme="minorHAnsi" w:cstheme="minorHAnsi"/>
          <w:sz w:val="22"/>
        </w:rPr>
        <w:t>grounds</w:t>
      </w:r>
      <w:r w:rsidR="006B437A">
        <w:rPr>
          <w:rStyle w:val="articletemplatetext"/>
          <w:rFonts w:asciiTheme="minorHAnsi" w:eastAsia="Calibri" w:hAnsiTheme="minorHAnsi" w:cstheme="minorHAnsi"/>
          <w:sz w:val="22"/>
        </w:rPr>
        <w:t xml:space="preserve"> that it is being “paid for” by the Minerals Resource Rent Tax legislation, which it </w:t>
      </w:r>
      <w:r w:rsidR="001C1DC0">
        <w:rPr>
          <w:rStyle w:val="articletemplatetext"/>
          <w:rFonts w:asciiTheme="minorHAnsi" w:eastAsia="Calibri" w:hAnsiTheme="minorHAnsi" w:cstheme="minorHAnsi"/>
          <w:sz w:val="22"/>
        </w:rPr>
        <w:t xml:space="preserve">plans </w:t>
      </w:r>
      <w:r w:rsidR="006B437A">
        <w:rPr>
          <w:rStyle w:val="articletemplatetext"/>
          <w:rFonts w:asciiTheme="minorHAnsi" w:eastAsia="Calibri" w:hAnsiTheme="minorHAnsi" w:cstheme="minorHAnsi"/>
          <w:sz w:val="22"/>
        </w:rPr>
        <w:t>to repeal.</w:t>
      </w:r>
    </w:p>
    <w:p w:rsidR="006F08BC" w:rsidRPr="00BB5D86" w:rsidRDefault="006F08BC" w:rsidP="006F08BC">
      <w:pPr>
        <w:jc w:val="both"/>
        <w:rPr>
          <w:rFonts w:asciiTheme="minorHAnsi" w:hAnsiTheme="minorHAnsi" w:cstheme="minorHAnsi"/>
          <w:sz w:val="22"/>
        </w:rPr>
      </w:pPr>
    </w:p>
    <w:p w:rsidR="009D7AC0" w:rsidRPr="00BB5D86" w:rsidRDefault="009D7AC0" w:rsidP="009D7AC0">
      <w:pPr>
        <w:jc w:val="both"/>
        <w:rPr>
          <w:rFonts w:asciiTheme="minorHAnsi" w:hAnsiTheme="minorHAnsi" w:cstheme="minorHAnsi"/>
          <w:sz w:val="22"/>
        </w:rPr>
      </w:pPr>
      <w:r w:rsidRPr="00BB5D86">
        <w:rPr>
          <w:rFonts w:asciiTheme="minorHAnsi" w:hAnsiTheme="minorHAnsi" w:cstheme="minorHAnsi"/>
          <w:sz w:val="22"/>
        </w:rPr>
        <w:t>The new supplement provides recipients with a small lump sum that can be used to buy clothes or pay an unexpected bill. This is the first real increase in income support payments to unemployed people and students in almost two decades.</w:t>
      </w:r>
    </w:p>
    <w:p w:rsidR="009D7AC0" w:rsidRPr="00BB5D86" w:rsidRDefault="009D7AC0" w:rsidP="009D7AC0">
      <w:pPr>
        <w:jc w:val="both"/>
        <w:rPr>
          <w:rFonts w:asciiTheme="minorHAnsi" w:hAnsiTheme="minorHAnsi" w:cstheme="minorHAnsi"/>
          <w:sz w:val="22"/>
        </w:rPr>
      </w:pPr>
    </w:p>
    <w:p w:rsidR="006F08BC" w:rsidRPr="00BB5D86" w:rsidRDefault="006A36B7" w:rsidP="006F08BC">
      <w:pPr>
        <w:jc w:val="both"/>
        <w:rPr>
          <w:rFonts w:asciiTheme="minorHAnsi" w:hAnsiTheme="minorHAnsi" w:cstheme="minorHAnsi"/>
          <w:sz w:val="22"/>
        </w:rPr>
      </w:pPr>
      <w:r>
        <w:rPr>
          <w:rFonts w:asciiTheme="minorHAnsi" w:hAnsiTheme="minorHAnsi" w:cstheme="minorHAnsi"/>
          <w:sz w:val="22"/>
        </w:rPr>
        <w:t>S</w:t>
      </w:r>
      <w:r w:rsidR="006F08BC" w:rsidRPr="00BB5D86">
        <w:rPr>
          <w:rFonts w:asciiTheme="minorHAnsi" w:hAnsiTheme="minorHAnsi" w:cstheme="minorHAnsi"/>
          <w:sz w:val="22"/>
        </w:rPr>
        <w:t xml:space="preserve">enators on a </w:t>
      </w:r>
      <w:r w:rsidR="006B437A">
        <w:rPr>
          <w:rFonts w:asciiTheme="minorHAnsi" w:hAnsiTheme="minorHAnsi" w:cstheme="minorHAnsi"/>
          <w:sz w:val="22"/>
        </w:rPr>
        <w:t xml:space="preserve">2012 </w:t>
      </w:r>
      <w:r w:rsidR="006F08BC" w:rsidRPr="00BB5D86">
        <w:rPr>
          <w:rFonts w:asciiTheme="minorHAnsi" w:hAnsiTheme="minorHAnsi" w:cstheme="minorHAnsi"/>
          <w:sz w:val="22"/>
        </w:rPr>
        <w:t xml:space="preserve">Senate Committee agreed that the </w:t>
      </w:r>
      <w:r w:rsidR="00AE5FD4" w:rsidRPr="00BB5D86">
        <w:rPr>
          <w:rFonts w:asciiTheme="minorHAnsi" w:hAnsiTheme="minorHAnsi" w:cstheme="minorHAnsi"/>
          <w:sz w:val="22"/>
        </w:rPr>
        <w:t xml:space="preserve">single </w:t>
      </w:r>
      <w:r w:rsidR="006F08BC" w:rsidRPr="00BB5D86">
        <w:rPr>
          <w:rFonts w:asciiTheme="minorHAnsi" w:hAnsiTheme="minorHAnsi" w:cstheme="minorHAnsi"/>
          <w:sz w:val="22"/>
        </w:rPr>
        <w:t>Newstart Allowance, at the time just $246 per week, fails to provide an acceptable standard of living “for anything but the shortest period”.</w:t>
      </w:r>
      <w:r w:rsidR="006B437A">
        <w:rPr>
          <w:rStyle w:val="FootnoteReference"/>
          <w:rFonts w:asciiTheme="minorHAnsi" w:hAnsiTheme="minorHAnsi" w:cstheme="minorHAnsi"/>
          <w:sz w:val="22"/>
        </w:rPr>
        <w:footnoteReference w:id="13"/>
      </w:r>
    </w:p>
    <w:p w:rsidR="006F08BC" w:rsidRPr="00BB5D86" w:rsidRDefault="006F08BC" w:rsidP="006F08BC">
      <w:pPr>
        <w:jc w:val="both"/>
        <w:rPr>
          <w:rFonts w:asciiTheme="minorHAnsi" w:hAnsiTheme="minorHAnsi" w:cstheme="minorHAnsi"/>
          <w:sz w:val="22"/>
        </w:rPr>
      </w:pPr>
    </w:p>
    <w:p w:rsidR="006F08BC" w:rsidRPr="00BB5D86" w:rsidRDefault="006F08BC" w:rsidP="006F08BC">
      <w:pPr>
        <w:jc w:val="both"/>
        <w:rPr>
          <w:rFonts w:asciiTheme="minorHAnsi" w:hAnsiTheme="minorHAnsi" w:cstheme="minorHAnsi"/>
          <w:sz w:val="22"/>
        </w:rPr>
      </w:pPr>
      <w:r w:rsidRPr="00BB5D86">
        <w:rPr>
          <w:rFonts w:asciiTheme="minorHAnsi" w:hAnsiTheme="minorHAnsi" w:cstheme="minorHAnsi"/>
          <w:sz w:val="22"/>
        </w:rPr>
        <w:t>The current Minister for Social Services Kevin Andrews, as Opposition spokesperson for Families, Housing and Human Services, indicated that the Coalition would consider an increase in Newstart and would “determine what is realistic, possible and appropriate”.</w:t>
      </w:r>
      <w:r w:rsidR="006B437A">
        <w:rPr>
          <w:rStyle w:val="FootnoteReference"/>
          <w:rFonts w:asciiTheme="minorHAnsi" w:hAnsiTheme="minorHAnsi" w:cstheme="minorHAnsi"/>
          <w:sz w:val="22"/>
        </w:rPr>
        <w:footnoteReference w:id="14"/>
      </w:r>
    </w:p>
    <w:p w:rsidR="006F08BC" w:rsidRPr="00BB5D86" w:rsidRDefault="006F08BC" w:rsidP="006F08BC">
      <w:pPr>
        <w:jc w:val="both"/>
        <w:rPr>
          <w:rFonts w:asciiTheme="minorHAnsi" w:hAnsiTheme="minorHAnsi" w:cstheme="minorHAnsi"/>
          <w:sz w:val="22"/>
        </w:rPr>
      </w:pPr>
    </w:p>
    <w:p w:rsidR="006F08BC" w:rsidRPr="00D3169B" w:rsidRDefault="006F08BC" w:rsidP="006F08B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rPr>
      </w:pPr>
      <w:r w:rsidRPr="00BB5D86">
        <w:rPr>
          <w:rFonts w:asciiTheme="minorHAnsi" w:hAnsiTheme="minorHAnsi" w:cstheme="minorHAnsi"/>
          <w:b/>
          <w:sz w:val="22"/>
        </w:rPr>
        <w:t>Recommendation</w:t>
      </w:r>
      <w:r w:rsidR="000966B1">
        <w:rPr>
          <w:rFonts w:asciiTheme="minorHAnsi" w:hAnsiTheme="minorHAnsi" w:cstheme="minorHAnsi"/>
          <w:b/>
          <w:sz w:val="22"/>
        </w:rPr>
        <w:t xml:space="preserve"> #7</w:t>
      </w:r>
      <w:r w:rsidRPr="00BB5D86">
        <w:rPr>
          <w:rFonts w:asciiTheme="minorHAnsi" w:hAnsiTheme="minorHAnsi" w:cstheme="minorHAnsi"/>
          <w:b/>
          <w:sz w:val="22"/>
        </w:rPr>
        <w:t xml:space="preserve">: </w:t>
      </w:r>
      <w:r w:rsidRPr="00D3169B">
        <w:rPr>
          <w:rFonts w:asciiTheme="minorHAnsi" w:hAnsiTheme="minorHAnsi" w:cstheme="minorHAnsi"/>
          <w:sz w:val="22"/>
        </w:rPr>
        <w:t xml:space="preserve">That the Government </w:t>
      </w:r>
      <w:r w:rsidR="001C1DC0" w:rsidRPr="00D3169B">
        <w:rPr>
          <w:rFonts w:asciiTheme="minorHAnsi" w:hAnsiTheme="minorHAnsi" w:cstheme="minorHAnsi"/>
          <w:sz w:val="22"/>
        </w:rPr>
        <w:t xml:space="preserve">retain the </w:t>
      </w:r>
      <w:r w:rsidR="00AE5FD4" w:rsidRPr="00D3169B">
        <w:rPr>
          <w:rFonts w:asciiTheme="minorHAnsi" w:hAnsiTheme="minorHAnsi" w:cstheme="minorHAnsi"/>
          <w:sz w:val="22"/>
        </w:rPr>
        <w:t>twice yearly</w:t>
      </w:r>
      <w:r w:rsidRPr="00D3169B">
        <w:rPr>
          <w:rFonts w:asciiTheme="minorHAnsi" w:hAnsiTheme="minorHAnsi" w:cstheme="minorHAnsi"/>
          <w:sz w:val="22"/>
        </w:rPr>
        <w:t xml:space="preserve"> Income Support Bonus. </w:t>
      </w:r>
      <w:r w:rsidR="001C1DC0" w:rsidRPr="00D3169B">
        <w:rPr>
          <w:rFonts w:asciiTheme="minorHAnsi" w:hAnsiTheme="minorHAnsi" w:cstheme="minorHAnsi"/>
          <w:sz w:val="22"/>
        </w:rPr>
        <w:t xml:space="preserve"> In the event that a substantial increase is not made to Allowances, then the Income Support Bonus be maintained in its entirety.</w:t>
      </w:r>
    </w:p>
    <w:p w:rsidR="008D03BB" w:rsidRPr="00BB5D86" w:rsidRDefault="008D03BB" w:rsidP="00631487">
      <w:pPr>
        <w:rPr>
          <w:rFonts w:asciiTheme="minorHAnsi" w:hAnsiTheme="minorHAnsi" w:cstheme="minorHAnsi"/>
          <w:b/>
          <w:sz w:val="22"/>
        </w:rPr>
      </w:pPr>
    </w:p>
    <w:p w:rsidR="00331423" w:rsidRPr="00FE420F" w:rsidRDefault="00331423" w:rsidP="00012394">
      <w:pPr>
        <w:pStyle w:val="Heading3"/>
        <w:rPr>
          <w:sz w:val="24"/>
          <w:szCs w:val="24"/>
        </w:rPr>
      </w:pPr>
      <w:bookmarkStart w:id="10" w:name="_Toc379199686"/>
      <w:r w:rsidRPr="00FE420F">
        <w:rPr>
          <w:sz w:val="24"/>
          <w:szCs w:val="24"/>
        </w:rPr>
        <w:t>Increase Rent Assistance to improve housing affordability and reduce homelessness</w:t>
      </w:r>
      <w:bookmarkEnd w:id="10"/>
    </w:p>
    <w:p w:rsidR="00331423" w:rsidRPr="00BB5D86" w:rsidRDefault="00331423" w:rsidP="00331423">
      <w:pPr>
        <w:jc w:val="both"/>
        <w:rPr>
          <w:rFonts w:asciiTheme="minorHAnsi" w:hAnsiTheme="minorHAnsi" w:cstheme="minorHAnsi"/>
          <w:b/>
          <w:color w:val="4A442A" w:themeColor="background2" w:themeShade="40"/>
          <w:sz w:val="22"/>
          <w:lang w:eastAsia="en-AU"/>
        </w:rPr>
      </w:pPr>
    </w:p>
    <w:p w:rsidR="00331423" w:rsidRPr="00BB5D86" w:rsidRDefault="00331423" w:rsidP="00331423">
      <w:pPr>
        <w:jc w:val="both"/>
        <w:rPr>
          <w:rStyle w:val="Strong"/>
          <w:rFonts w:cstheme="minorHAnsi"/>
          <w:sz w:val="22"/>
        </w:rPr>
      </w:pPr>
      <w:r w:rsidRPr="00BB5D86">
        <w:rPr>
          <w:rStyle w:val="Strong"/>
          <w:rFonts w:cstheme="minorHAnsi"/>
          <w:sz w:val="22"/>
        </w:rPr>
        <w:t xml:space="preserve">The facts on housing affordability in Australia are alarming: </w:t>
      </w:r>
    </w:p>
    <w:p w:rsidR="00331423" w:rsidRPr="00BB5D86" w:rsidRDefault="00331423" w:rsidP="00331423">
      <w:pPr>
        <w:jc w:val="both"/>
        <w:rPr>
          <w:rStyle w:val="Strong"/>
          <w:rFonts w:cstheme="minorHAnsi"/>
          <w:sz w:val="22"/>
        </w:rPr>
      </w:pPr>
    </w:p>
    <w:p w:rsidR="00331423" w:rsidRPr="00BB5D86" w:rsidRDefault="00331423" w:rsidP="00331423">
      <w:pPr>
        <w:pStyle w:val="ListParagraph"/>
        <w:numPr>
          <w:ilvl w:val="0"/>
          <w:numId w:val="11"/>
        </w:numPr>
        <w:ind w:left="709"/>
        <w:jc w:val="both"/>
        <w:rPr>
          <w:rStyle w:val="Hyperlink"/>
          <w:rFonts w:asciiTheme="minorHAnsi" w:eastAsiaTheme="minorHAnsi" w:hAnsiTheme="minorHAnsi" w:cstheme="minorHAnsi"/>
          <w:color w:val="auto"/>
          <w:sz w:val="22"/>
        </w:rPr>
      </w:pPr>
      <w:r w:rsidRPr="00BB5D86">
        <w:rPr>
          <w:rFonts w:asciiTheme="minorHAnsi" w:hAnsiTheme="minorHAnsi" w:cstheme="minorHAnsi"/>
          <w:color w:val="auto"/>
          <w:sz w:val="22"/>
        </w:rPr>
        <w:t xml:space="preserve">average rents have </w:t>
      </w:r>
      <w:hyperlink r:id="rId11" w:history="1">
        <w:r w:rsidRPr="00BB5D86">
          <w:rPr>
            <w:rStyle w:val="Hyperlink"/>
            <w:rFonts w:asciiTheme="minorHAnsi" w:hAnsiTheme="minorHAnsi" w:cstheme="minorHAnsi"/>
            <w:bCs/>
            <w:color w:val="auto"/>
            <w:sz w:val="22"/>
            <w:u w:val="none"/>
          </w:rPr>
          <w:t xml:space="preserve"> increased by 32% in the five years to 2012</w:t>
        </w:r>
      </w:hyperlink>
      <w:r w:rsidRPr="00BB5D86">
        <w:rPr>
          <w:rStyle w:val="Hyperlink"/>
          <w:rFonts w:asciiTheme="minorHAnsi" w:hAnsiTheme="minorHAnsi" w:cstheme="minorHAnsi"/>
          <w:bCs/>
          <w:color w:val="auto"/>
          <w:sz w:val="22"/>
          <w:u w:val="none"/>
        </w:rPr>
        <w:t>;</w:t>
      </w:r>
    </w:p>
    <w:p w:rsidR="00331423" w:rsidRPr="00BB5D86" w:rsidRDefault="00331423" w:rsidP="00331423">
      <w:pPr>
        <w:pStyle w:val="ListParagraph"/>
        <w:numPr>
          <w:ilvl w:val="0"/>
          <w:numId w:val="11"/>
        </w:numPr>
        <w:ind w:left="709"/>
        <w:jc w:val="both"/>
        <w:rPr>
          <w:rFonts w:asciiTheme="minorHAnsi" w:hAnsiTheme="minorHAnsi" w:cstheme="minorHAnsi"/>
          <w:sz w:val="22"/>
        </w:rPr>
      </w:pPr>
      <w:r w:rsidRPr="00BB5D86">
        <w:rPr>
          <w:rFonts w:asciiTheme="minorHAnsi" w:hAnsiTheme="minorHAnsi" w:cstheme="minorHAnsi"/>
          <w:sz w:val="22"/>
        </w:rPr>
        <w:t>it takes an average of 5.7 years to save for a deposit in Sydney, according to a 2011 study by the recently abolished National Housing Supply Council;</w:t>
      </w:r>
    </w:p>
    <w:p w:rsidR="00331423" w:rsidRPr="00BB5D86" w:rsidRDefault="00331423" w:rsidP="00331423">
      <w:pPr>
        <w:pStyle w:val="ListParagraph"/>
        <w:numPr>
          <w:ilvl w:val="0"/>
          <w:numId w:val="11"/>
        </w:numPr>
        <w:ind w:left="709"/>
        <w:jc w:val="both"/>
        <w:rPr>
          <w:rFonts w:asciiTheme="minorHAnsi" w:hAnsiTheme="minorHAnsi" w:cstheme="minorHAnsi"/>
          <w:sz w:val="22"/>
        </w:rPr>
      </w:pPr>
      <w:r w:rsidRPr="00BB5D86">
        <w:rPr>
          <w:rFonts w:asciiTheme="minorHAnsi" w:hAnsiTheme="minorHAnsi" w:cstheme="minorHAnsi"/>
          <w:sz w:val="22"/>
        </w:rPr>
        <w:t>rental increases have outstripped earnings growth in recent years;</w:t>
      </w:r>
    </w:p>
    <w:p w:rsidR="00331423" w:rsidRPr="00BB5D86" w:rsidRDefault="00331423" w:rsidP="00331423">
      <w:pPr>
        <w:pStyle w:val="ListParagraph"/>
        <w:numPr>
          <w:ilvl w:val="0"/>
          <w:numId w:val="11"/>
        </w:numPr>
        <w:ind w:left="709"/>
        <w:jc w:val="both"/>
        <w:rPr>
          <w:rFonts w:asciiTheme="minorHAnsi" w:hAnsiTheme="minorHAnsi" w:cstheme="minorHAnsi"/>
          <w:sz w:val="22"/>
        </w:rPr>
      </w:pPr>
      <w:r w:rsidRPr="00BB5D86">
        <w:rPr>
          <w:rFonts w:asciiTheme="minorHAnsi" w:hAnsiTheme="minorHAnsi" w:cstheme="minorHAnsi"/>
          <w:sz w:val="22"/>
        </w:rPr>
        <w:t>renters make up 24% of households compared with 18% 15 years ago;</w:t>
      </w:r>
    </w:p>
    <w:p w:rsidR="00331423" w:rsidRPr="00BB5D86" w:rsidRDefault="00331423" w:rsidP="00331423">
      <w:pPr>
        <w:pStyle w:val="ListParagraph"/>
        <w:numPr>
          <w:ilvl w:val="0"/>
          <w:numId w:val="11"/>
        </w:numPr>
        <w:ind w:left="709"/>
        <w:jc w:val="both"/>
        <w:rPr>
          <w:rFonts w:asciiTheme="minorHAnsi" w:hAnsiTheme="minorHAnsi" w:cstheme="minorHAnsi"/>
          <w:sz w:val="22"/>
        </w:rPr>
      </w:pPr>
      <w:r w:rsidRPr="00BB5D86">
        <w:rPr>
          <w:rFonts w:asciiTheme="minorHAnsi" w:hAnsiTheme="minorHAnsi" w:cstheme="minorHAnsi"/>
          <w:sz w:val="22"/>
        </w:rPr>
        <w:t>in 1994, 42% of Australians had mortgages, while in 2004 it was 30; and</w:t>
      </w:r>
      <w:r w:rsidRPr="00BB5D86">
        <w:rPr>
          <w:rStyle w:val="FootnoteReference"/>
          <w:rFonts w:asciiTheme="minorHAnsi" w:hAnsiTheme="minorHAnsi" w:cstheme="minorHAnsi"/>
          <w:sz w:val="22"/>
        </w:rPr>
        <w:footnoteReference w:id="15"/>
      </w:r>
      <w:r w:rsidRPr="00BB5D86">
        <w:rPr>
          <w:rFonts w:asciiTheme="minorHAnsi" w:hAnsiTheme="minorHAnsi" w:cstheme="minorHAnsi"/>
          <w:sz w:val="22"/>
        </w:rPr>
        <w:t xml:space="preserve"> </w:t>
      </w:r>
    </w:p>
    <w:p w:rsidR="00331423" w:rsidRPr="00BB5D86" w:rsidRDefault="00331423" w:rsidP="00331423">
      <w:pPr>
        <w:pStyle w:val="ListParagraph"/>
        <w:numPr>
          <w:ilvl w:val="0"/>
          <w:numId w:val="11"/>
        </w:numPr>
        <w:ind w:left="709"/>
        <w:jc w:val="both"/>
        <w:rPr>
          <w:rFonts w:asciiTheme="minorHAnsi" w:hAnsiTheme="minorHAnsi" w:cstheme="minorHAnsi"/>
          <w:sz w:val="22"/>
        </w:rPr>
      </w:pPr>
      <w:r w:rsidRPr="00BB5D86">
        <w:rPr>
          <w:rFonts w:asciiTheme="minorHAnsi" w:hAnsiTheme="minorHAnsi" w:cstheme="minorHAnsi"/>
          <w:sz w:val="22"/>
        </w:rPr>
        <w:t xml:space="preserve">Home-ownership is declining significantly across most groups in the population. The National Housing Supply Council </w:t>
      </w:r>
      <w:r w:rsidRPr="00BB5D86">
        <w:rPr>
          <w:rFonts w:asciiTheme="minorHAnsi" w:hAnsiTheme="minorHAnsi" w:cstheme="minorHAnsi"/>
          <w:i/>
          <w:sz w:val="22"/>
        </w:rPr>
        <w:t xml:space="preserve">Housing Supply and Affordability Issues 2012-13 </w:t>
      </w:r>
      <w:r w:rsidRPr="00BB5D86">
        <w:rPr>
          <w:rFonts w:asciiTheme="minorHAnsi" w:hAnsiTheme="minorHAnsi" w:cstheme="minorHAnsi"/>
          <w:sz w:val="22"/>
        </w:rPr>
        <w:t>notes that housing supply difficulties “is likely to continue to be felt by the more vulnerable in our population, such as…those dependent on government income support payments.”</w:t>
      </w:r>
      <w:r w:rsidRPr="00BB5D86">
        <w:rPr>
          <w:rStyle w:val="FootnoteReference"/>
          <w:rFonts w:asciiTheme="minorHAnsi" w:hAnsiTheme="minorHAnsi" w:cstheme="minorHAnsi"/>
          <w:sz w:val="22"/>
        </w:rPr>
        <w:footnoteReference w:id="16"/>
      </w:r>
    </w:p>
    <w:p w:rsidR="00331423" w:rsidRPr="00BB5D86" w:rsidRDefault="00331423" w:rsidP="00331423">
      <w:pPr>
        <w:jc w:val="both"/>
        <w:rPr>
          <w:rFonts w:asciiTheme="minorHAnsi" w:hAnsiTheme="minorHAnsi" w:cstheme="minorHAnsi"/>
          <w:b/>
          <w:color w:val="4A442A" w:themeColor="background2" w:themeShade="40"/>
          <w:sz w:val="22"/>
          <w:lang w:eastAsia="en-AU"/>
        </w:rPr>
      </w:pPr>
    </w:p>
    <w:p w:rsidR="00331423" w:rsidRPr="003075EF" w:rsidRDefault="00331423" w:rsidP="00331423">
      <w:pPr>
        <w:jc w:val="both"/>
        <w:rPr>
          <w:rFonts w:asciiTheme="minorHAnsi" w:hAnsiTheme="minorHAnsi" w:cstheme="minorHAnsi"/>
          <w:color w:val="auto"/>
          <w:sz w:val="22"/>
        </w:rPr>
      </w:pPr>
      <w:r w:rsidRPr="00BB5D86">
        <w:rPr>
          <w:rFonts w:asciiTheme="minorHAnsi" w:hAnsiTheme="minorHAnsi" w:cstheme="minorHAnsi"/>
          <w:sz w:val="22"/>
        </w:rPr>
        <w:t xml:space="preserve">In June 2012, there were 164,323 people on </w:t>
      </w:r>
      <w:r w:rsidRPr="003075EF">
        <w:rPr>
          <w:rFonts w:asciiTheme="minorHAnsi" w:hAnsiTheme="minorHAnsi" w:cstheme="minorHAnsi"/>
          <w:color w:val="auto"/>
          <w:sz w:val="22"/>
        </w:rPr>
        <w:t xml:space="preserve">waiting lists for social housing. </w:t>
      </w:r>
      <w:r w:rsidRPr="003075EF">
        <w:rPr>
          <w:rFonts w:asciiTheme="minorHAnsi" w:hAnsiTheme="minorHAnsi" w:cstheme="minorHAnsi"/>
          <w:bCs/>
          <w:color w:val="auto"/>
          <w:sz w:val="22"/>
          <w:lang w:eastAsia="en-AU"/>
        </w:rPr>
        <w:t xml:space="preserve">People can wait up to 10 years on public housing wait lists, and there is a shortage of over half a million rental properties for people on low incomes. </w:t>
      </w:r>
    </w:p>
    <w:p w:rsidR="00331423" w:rsidRPr="00BB5D86" w:rsidRDefault="00331423" w:rsidP="00331423">
      <w:pPr>
        <w:jc w:val="both"/>
        <w:rPr>
          <w:rFonts w:asciiTheme="minorHAnsi" w:hAnsiTheme="minorHAnsi" w:cstheme="minorHAnsi"/>
          <w:sz w:val="22"/>
        </w:rPr>
      </w:pPr>
    </w:p>
    <w:p w:rsidR="00331423" w:rsidRPr="00BB5D86" w:rsidRDefault="00331423" w:rsidP="00331423">
      <w:pPr>
        <w:jc w:val="both"/>
        <w:rPr>
          <w:rFonts w:asciiTheme="minorHAnsi" w:hAnsiTheme="minorHAnsi" w:cstheme="minorHAnsi"/>
          <w:sz w:val="22"/>
        </w:rPr>
      </w:pPr>
      <w:r w:rsidRPr="00BB5D86">
        <w:rPr>
          <w:rFonts w:asciiTheme="minorHAnsi" w:hAnsiTheme="minorHAnsi" w:cstheme="minorHAnsi"/>
          <w:sz w:val="22"/>
        </w:rPr>
        <w:t xml:space="preserve">The range of issues identified with housing affordability cannot be solved by </w:t>
      </w:r>
      <w:r w:rsidR="001C1DC0">
        <w:rPr>
          <w:rFonts w:asciiTheme="minorHAnsi" w:hAnsiTheme="minorHAnsi" w:cstheme="minorHAnsi"/>
          <w:sz w:val="22"/>
        </w:rPr>
        <w:t>the</w:t>
      </w:r>
      <w:r w:rsidRPr="00BB5D86">
        <w:rPr>
          <w:rFonts w:asciiTheme="minorHAnsi" w:hAnsiTheme="minorHAnsi" w:cstheme="minorHAnsi"/>
          <w:sz w:val="22"/>
        </w:rPr>
        <w:t xml:space="preserve"> recommendations</w:t>
      </w:r>
      <w:r w:rsidR="001C1DC0">
        <w:rPr>
          <w:rFonts w:asciiTheme="minorHAnsi" w:hAnsiTheme="minorHAnsi" w:cstheme="minorHAnsi"/>
          <w:sz w:val="22"/>
        </w:rPr>
        <w:t xml:space="preserve"> we make in this submission. In this section, w</w:t>
      </w:r>
      <w:r w:rsidR="000E4393">
        <w:rPr>
          <w:rFonts w:asciiTheme="minorHAnsi" w:hAnsiTheme="minorHAnsi" w:cstheme="minorHAnsi"/>
          <w:sz w:val="22"/>
        </w:rPr>
        <w:t>e</w:t>
      </w:r>
      <w:r w:rsidRPr="00BB5D86">
        <w:rPr>
          <w:rFonts w:asciiTheme="minorHAnsi" w:hAnsiTheme="minorHAnsi" w:cstheme="minorHAnsi"/>
          <w:sz w:val="22"/>
        </w:rPr>
        <w:t xml:space="preserve"> focus on reform of Rent Assistance, as many significant numbers of people who contact Welfare Rights</w:t>
      </w:r>
      <w:r w:rsidR="001C1DC0">
        <w:rPr>
          <w:rFonts w:asciiTheme="minorHAnsi" w:hAnsiTheme="minorHAnsi" w:cstheme="minorHAnsi"/>
          <w:sz w:val="22"/>
        </w:rPr>
        <w:t xml:space="preserve"> Centres</w:t>
      </w:r>
      <w:r w:rsidRPr="00BB5D86">
        <w:rPr>
          <w:rFonts w:asciiTheme="minorHAnsi" w:hAnsiTheme="minorHAnsi" w:cstheme="minorHAnsi"/>
          <w:sz w:val="22"/>
        </w:rPr>
        <w:t xml:space="preserve"> are on low incomes and are experiencing difficulty meeting the costs of renting</w:t>
      </w:r>
      <w:r w:rsidR="000E4393">
        <w:rPr>
          <w:rFonts w:asciiTheme="minorHAnsi" w:hAnsiTheme="minorHAnsi" w:cstheme="minorHAnsi"/>
          <w:sz w:val="22"/>
        </w:rPr>
        <w:t xml:space="preserve"> privately</w:t>
      </w:r>
      <w:r w:rsidRPr="00BB5D86">
        <w:rPr>
          <w:rFonts w:asciiTheme="minorHAnsi" w:hAnsiTheme="minorHAnsi" w:cstheme="minorHAnsi"/>
          <w:sz w:val="22"/>
        </w:rPr>
        <w:t>.</w:t>
      </w:r>
      <w:r w:rsidR="001C1DC0">
        <w:rPr>
          <w:rFonts w:asciiTheme="minorHAnsi" w:hAnsiTheme="minorHAnsi" w:cstheme="minorHAnsi"/>
          <w:sz w:val="22"/>
        </w:rPr>
        <w:t xml:space="preserve"> , Note that we also recommend the Government review existing negative gearing arrangements at page </w:t>
      </w:r>
      <w:r w:rsidR="009F0604">
        <w:rPr>
          <w:rFonts w:asciiTheme="minorHAnsi" w:hAnsiTheme="minorHAnsi" w:cstheme="minorHAnsi"/>
          <w:sz w:val="22"/>
        </w:rPr>
        <w:t>22</w:t>
      </w:r>
      <w:r w:rsidR="001C1DC0">
        <w:rPr>
          <w:rFonts w:asciiTheme="minorHAnsi" w:hAnsiTheme="minorHAnsi" w:cstheme="minorHAnsi"/>
          <w:sz w:val="22"/>
        </w:rPr>
        <w:t xml:space="preserve"> below.</w:t>
      </w:r>
    </w:p>
    <w:p w:rsidR="00331423" w:rsidRPr="00BB5D86" w:rsidRDefault="00331423" w:rsidP="00331423">
      <w:pPr>
        <w:jc w:val="both"/>
        <w:rPr>
          <w:rFonts w:asciiTheme="minorHAnsi" w:hAnsiTheme="minorHAnsi" w:cstheme="minorHAnsi"/>
          <w:bCs/>
          <w:color w:val="4A442A" w:themeColor="background2" w:themeShade="40"/>
          <w:sz w:val="22"/>
          <w:lang w:eastAsia="en-AU"/>
        </w:rPr>
      </w:pPr>
    </w:p>
    <w:p w:rsidR="00331423" w:rsidRPr="00BB5D86" w:rsidRDefault="000E4393" w:rsidP="00331423">
      <w:pPr>
        <w:rPr>
          <w:rFonts w:asciiTheme="minorHAnsi" w:hAnsiTheme="minorHAnsi" w:cstheme="minorHAnsi"/>
          <w:sz w:val="22"/>
        </w:rPr>
      </w:pPr>
      <w:r>
        <w:rPr>
          <w:rFonts w:asciiTheme="minorHAnsi" w:hAnsiTheme="minorHAnsi" w:cstheme="minorHAnsi"/>
          <w:sz w:val="22"/>
        </w:rPr>
        <w:t xml:space="preserve">As at July 2013, there were </w:t>
      </w:r>
      <w:r w:rsidR="00397038">
        <w:rPr>
          <w:rFonts w:asciiTheme="minorHAnsi" w:hAnsiTheme="minorHAnsi" w:cstheme="minorHAnsi"/>
          <w:sz w:val="22"/>
        </w:rPr>
        <w:t>1,267,979</w:t>
      </w:r>
      <w:r>
        <w:rPr>
          <w:rFonts w:asciiTheme="minorHAnsi" w:hAnsiTheme="minorHAnsi" w:cstheme="minorHAnsi"/>
          <w:sz w:val="22"/>
        </w:rPr>
        <w:t xml:space="preserve"> people receiving </w:t>
      </w:r>
      <w:r w:rsidRPr="00BB5D86">
        <w:rPr>
          <w:rFonts w:asciiTheme="minorHAnsi" w:hAnsiTheme="minorHAnsi" w:cstheme="minorHAnsi"/>
          <w:sz w:val="22"/>
        </w:rPr>
        <w:t xml:space="preserve">Commonwealth Rent Assistance </w:t>
      </w:r>
      <w:r>
        <w:rPr>
          <w:rFonts w:asciiTheme="minorHAnsi" w:hAnsiTheme="minorHAnsi" w:cstheme="minorHAnsi"/>
          <w:sz w:val="22"/>
        </w:rPr>
        <w:t xml:space="preserve">(CRA). </w:t>
      </w:r>
      <w:r w:rsidR="00397038">
        <w:rPr>
          <w:rFonts w:asciiTheme="minorHAnsi" w:hAnsiTheme="minorHAnsi" w:cstheme="minorHAnsi"/>
          <w:sz w:val="22"/>
        </w:rPr>
        <w:t>Of these, 76%</w:t>
      </w:r>
      <w:r w:rsidR="00397038" w:rsidRPr="00BB5D86">
        <w:rPr>
          <w:rFonts w:asciiTheme="minorHAnsi" w:hAnsiTheme="minorHAnsi" w:cstheme="minorHAnsi"/>
          <w:sz w:val="22"/>
        </w:rPr>
        <w:t xml:space="preserve"> </w:t>
      </w:r>
      <w:r w:rsidR="00331423" w:rsidRPr="00BB5D86">
        <w:rPr>
          <w:rFonts w:asciiTheme="minorHAnsi" w:hAnsiTheme="minorHAnsi" w:cstheme="minorHAnsi"/>
          <w:sz w:val="22"/>
        </w:rPr>
        <w:t xml:space="preserve">three in four people who receive </w:t>
      </w:r>
      <w:r w:rsidRPr="009111EB">
        <w:rPr>
          <w:rFonts w:asciiTheme="minorHAnsi" w:hAnsiTheme="minorHAnsi" w:cstheme="minorHAnsi"/>
          <w:sz w:val="22"/>
        </w:rPr>
        <w:t>CRA</w:t>
      </w:r>
      <w:r w:rsidR="00331423" w:rsidRPr="009111EB">
        <w:rPr>
          <w:rFonts w:asciiTheme="minorHAnsi" w:hAnsiTheme="minorHAnsi" w:cstheme="minorHAnsi"/>
          <w:sz w:val="22"/>
        </w:rPr>
        <w:t xml:space="preserve"> (</w:t>
      </w:r>
      <w:r w:rsidR="00397038" w:rsidRPr="009111EB">
        <w:rPr>
          <w:rFonts w:asciiTheme="minorHAnsi" w:hAnsiTheme="minorHAnsi" w:cstheme="minorHAnsi"/>
          <w:sz w:val="22"/>
        </w:rPr>
        <w:t>965</w:t>
      </w:r>
      <w:r w:rsidR="00331423" w:rsidRPr="009111EB">
        <w:rPr>
          <w:rFonts w:asciiTheme="minorHAnsi" w:hAnsiTheme="minorHAnsi" w:cstheme="minorHAnsi"/>
          <w:sz w:val="22"/>
        </w:rPr>
        <w:t>,0</w:t>
      </w:r>
      <w:r w:rsidR="009111EB" w:rsidRPr="009111EB">
        <w:rPr>
          <w:rFonts w:asciiTheme="minorHAnsi" w:hAnsiTheme="minorHAnsi" w:cstheme="minorHAnsi"/>
          <w:sz w:val="22"/>
        </w:rPr>
        <w:t>69</w:t>
      </w:r>
      <w:r w:rsidR="00331423" w:rsidRPr="009111EB">
        <w:rPr>
          <w:rFonts w:asciiTheme="minorHAnsi" w:hAnsiTheme="minorHAnsi" w:cstheme="minorHAnsi"/>
          <w:sz w:val="22"/>
        </w:rPr>
        <w:t>) pay</w:t>
      </w:r>
      <w:r w:rsidR="00331423" w:rsidRPr="00BB5D86">
        <w:rPr>
          <w:rFonts w:asciiTheme="minorHAnsi" w:hAnsiTheme="minorHAnsi" w:cstheme="minorHAnsi"/>
          <w:sz w:val="22"/>
        </w:rPr>
        <w:t xml:space="preserve"> enough rent to be eligible for the maximum rate of CRA.</w:t>
      </w:r>
      <w:r w:rsidR="002B0C3E">
        <w:rPr>
          <w:rStyle w:val="FootnoteReference"/>
          <w:rFonts w:asciiTheme="minorHAnsi" w:hAnsiTheme="minorHAnsi" w:cstheme="minorHAnsi"/>
          <w:sz w:val="22"/>
        </w:rPr>
        <w:footnoteReference w:id="17"/>
      </w:r>
      <w:r w:rsidR="00331423" w:rsidRPr="00BB5D86">
        <w:rPr>
          <w:rFonts w:asciiTheme="minorHAnsi" w:hAnsiTheme="minorHAnsi" w:cstheme="minorHAnsi"/>
          <w:sz w:val="22"/>
        </w:rPr>
        <w:t xml:space="preserve"> </w:t>
      </w:r>
    </w:p>
    <w:p w:rsidR="00331423" w:rsidRPr="00BB5D86" w:rsidRDefault="00331423" w:rsidP="00331423">
      <w:pPr>
        <w:rPr>
          <w:rFonts w:asciiTheme="minorHAnsi" w:hAnsiTheme="minorHAnsi" w:cstheme="minorHAnsi"/>
          <w:sz w:val="22"/>
        </w:rPr>
      </w:pPr>
    </w:p>
    <w:p w:rsidR="00331423" w:rsidRPr="00BB5D86" w:rsidRDefault="00331423" w:rsidP="00331423">
      <w:pPr>
        <w:rPr>
          <w:rFonts w:asciiTheme="minorHAnsi" w:hAnsiTheme="minorHAnsi" w:cstheme="minorHAnsi"/>
          <w:sz w:val="22"/>
        </w:rPr>
      </w:pPr>
      <w:r w:rsidRPr="00BB5D86">
        <w:rPr>
          <w:rFonts w:asciiTheme="minorHAnsi" w:hAnsiTheme="minorHAnsi" w:cstheme="minorHAnsi"/>
          <w:sz w:val="22"/>
        </w:rPr>
        <w:t xml:space="preserve">A person is considered to be in ‘housing stress’ if they are paying more than 30% of their income in rent. They are defined as experiencing ‘extreme rental stress’ when they spend more than </w:t>
      </w:r>
      <w:r w:rsidR="000E4393">
        <w:rPr>
          <w:rFonts w:asciiTheme="minorHAnsi" w:hAnsiTheme="minorHAnsi" w:cstheme="minorHAnsi"/>
          <w:sz w:val="22"/>
        </w:rPr>
        <w:t>hal</w:t>
      </w:r>
      <w:r w:rsidR="001C1DC0">
        <w:rPr>
          <w:rFonts w:asciiTheme="minorHAnsi" w:hAnsiTheme="minorHAnsi" w:cstheme="minorHAnsi"/>
          <w:sz w:val="22"/>
        </w:rPr>
        <w:t xml:space="preserve">f </w:t>
      </w:r>
      <w:r w:rsidRPr="00BB5D86">
        <w:rPr>
          <w:rFonts w:asciiTheme="minorHAnsi" w:hAnsiTheme="minorHAnsi" w:cstheme="minorHAnsi"/>
          <w:sz w:val="22"/>
        </w:rPr>
        <w:t>of their income on rent.</w:t>
      </w:r>
    </w:p>
    <w:p w:rsidR="00331423" w:rsidRPr="00BB5D86" w:rsidRDefault="00331423" w:rsidP="00331423">
      <w:pPr>
        <w:rPr>
          <w:rFonts w:asciiTheme="minorHAnsi" w:hAnsiTheme="minorHAnsi" w:cstheme="minorHAnsi"/>
          <w:sz w:val="22"/>
        </w:rPr>
      </w:pPr>
    </w:p>
    <w:p w:rsidR="00331423" w:rsidRPr="00BB5D86" w:rsidRDefault="00331423" w:rsidP="00331423">
      <w:pPr>
        <w:rPr>
          <w:rFonts w:asciiTheme="minorHAnsi" w:hAnsiTheme="minorHAnsi" w:cstheme="minorHAnsi"/>
          <w:sz w:val="14"/>
          <w:szCs w:val="16"/>
        </w:rPr>
      </w:pPr>
      <w:r w:rsidRPr="00BB5D86">
        <w:rPr>
          <w:rFonts w:asciiTheme="minorHAnsi" w:hAnsiTheme="minorHAnsi" w:cstheme="minorHAnsi"/>
          <w:sz w:val="22"/>
        </w:rPr>
        <w:t xml:space="preserve">Data about those who receive CRA highlights the increasing incidence of ‘housing stresses. </w:t>
      </w:r>
    </w:p>
    <w:p w:rsidR="002B0C3E" w:rsidRDefault="002B0C3E" w:rsidP="00331423">
      <w:pPr>
        <w:rPr>
          <w:rFonts w:asciiTheme="minorHAnsi" w:hAnsiTheme="minorHAnsi" w:cstheme="minorHAnsi"/>
          <w:sz w:val="22"/>
        </w:rPr>
      </w:pPr>
    </w:p>
    <w:p w:rsidR="00331423" w:rsidRPr="00BB5D86" w:rsidRDefault="00331423" w:rsidP="00331423">
      <w:pPr>
        <w:rPr>
          <w:rFonts w:asciiTheme="minorHAnsi" w:hAnsiTheme="minorHAnsi" w:cstheme="minorHAnsi"/>
          <w:sz w:val="22"/>
        </w:rPr>
      </w:pPr>
      <w:r w:rsidRPr="00BB5D86">
        <w:rPr>
          <w:rFonts w:asciiTheme="minorHAnsi" w:hAnsiTheme="minorHAnsi" w:cstheme="minorHAnsi"/>
          <w:sz w:val="22"/>
        </w:rPr>
        <w:t xml:space="preserve">Over </w:t>
      </w:r>
      <w:r w:rsidR="00397038">
        <w:rPr>
          <w:rFonts w:asciiTheme="minorHAnsi" w:hAnsiTheme="minorHAnsi" w:cstheme="minorHAnsi"/>
          <w:sz w:val="22"/>
        </w:rPr>
        <w:t>502</w:t>
      </w:r>
      <w:r w:rsidRPr="00BB5D86">
        <w:rPr>
          <w:rFonts w:asciiTheme="minorHAnsi" w:hAnsiTheme="minorHAnsi" w:cstheme="minorHAnsi"/>
          <w:sz w:val="22"/>
        </w:rPr>
        <w:t xml:space="preserve">,000 private renters, or two in every five Australian’s receiving CRA, are paying more than 30% of their weekly income including CRA in rent. This figure has grown from 450,000 in March 2011. </w:t>
      </w:r>
    </w:p>
    <w:p w:rsidR="00331423" w:rsidRPr="00BB5D86" w:rsidRDefault="00331423" w:rsidP="00331423">
      <w:pPr>
        <w:rPr>
          <w:rFonts w:asciiTheme="minorHAnsi" w:hAnsiTheme="minorHAnsi" w:cstheme="minorHAnsi"/>
          <w:sz w:val="22"/>
        </w:rPr>
      </w:pPr>
    </w:p>
    <w:p w:rsidR="00031BE5" w:rsidRDefault="00397038" w:rsidP="00031BE5">
      <w:pPr>
        <w:rPr>
          <w:rFonts w:asciiTheme="minorHAnsi" w:hAnsiTheme="minorHAnsi" w:cstheme="minorHAnsi"/>
          <w:sz w:val="22"/>
        </w:rPr>
      </w:pPr>
      <w:r>
        <w:rPr>
          <w:rFonts w:asciiTheme="minorHAnsi" w:hAnsiTheme="minorHAnsi" w:cstheme="minorHAnsi"/>
          <w:sz w:val="22"/>
        </w:rPr>
        <w:t xml:space="preserve">People on Newstart (60%) were twice as likely to be in rental stress, compared to Age Pension recipients (28%). </w:t>
      </w:r>
      <w:r w:rsidR="00031BE5">
        <w:rPr>
          <w:rFonts w:asciiTheme="minorHAnsi" w:hAnsiTheme="minorHAnsi" w:cstheme="minorHAnsi"/>
          <w:sz w:val="22"/>
        </w:rPr>
        <w:t>As</w:t>
      </w:r>
      <w:r w:rsidR="00031BE5" w:rsidRPr="00BB5D86">
        <w:rPr>
          <w:rFonts w:asciiTheme="minorHAnsi" w:hAnsiTheme="minorHAnsi" w:cstheme="minorHAnsi"/>
          <w:sz w:val="22"/>
        </w:rPr>
        <w:t xml:space="preserve"> at </w:t>
      </w:r>
      <w:r>
        <w:rPr>
          <w:rFonts w:asciiTheme="minorHAnsi" w:hAnsiTheme="minorHAnsi" w:cstheme="minorHAnsi"/>
          <w:sz w:val="22"/>
        </w:rPr>
        <w:t>June</w:t>
      </w:r>
      <w:r w:rsidR="00031BE5" w:rsidRPr="00BB5D86">
        <w:rPr>
          <w:rFonts w:asciiTheme="minorHAnsi" w:hAnsiTheme="minorHAnsi" w:cstheme="minorHAnsi"/>
          <w:sz w:val="22"/>
        </w:rPr>
        <w:t xml:space="preserve"> 201</w:t>
      </w:r>
      <w:r w:rsidR="00031BE5">
        <w:rPr>
          <w:rFonts w:asciiTheme="minorHAnsi" w:hAnsiTheme="minorHAnsi" w:cstheme="minorHAnsi"/>
          <w:sz w:val="22"/>
        </w:rPr>
        <w:t>3</w:t>
      </w:r>
      <w:r w:rsidR="00031BE5" w:rsidRPr="00BB5D86">
        <w:rPr>
          <w:rFonts w:asciiTheme="minorHAnsi" w:hAnsiTheme="minorHAnsi" w:cstheme="minorHAnsi"/>
          <w:sz w:val="22"/>
        </w:rPr>
        <w:t xml:space="preserve">, </w:t>
      </w:r>
      <w:r w:rsidR="00031BE5">
        <w:rPr>
          <w:rFonts w:asciiTheme="minorHAnsi" w:hAnsiTheme="minorHAnsi" w:cstheme="minorHAnsi"/>
          <w:sz w:val="22"/>
        </w:rPr>
        <w:t xml:space="preserve">there were </w:t>
      </w:r>
      <w:r w:rsidR="00031BE5" w:rsidRPr="00BB5D86">
        <w:rPr>
          <w:rFonts w:asciiTheme="minorHAnsi" w:hAnsiTheme="minorHAnsi" w:cstheme="minorHAnsi"/>
          <w:sz w:val="22"/>
        </w:rPr>
        <w:t>1</w:t>
      </w:r>
      <w:r>
        <w:rPr>
          <w:rFonts w:asciiTheme="minorHAnsi" w:hAnsiTheme="minorHAnsi" w:cstheme="minorHAnsi"/>
          <w:sz w:val="22"/>
        </w:rPr>
        <w:t>65</w:t>
      </w:r>
      <w:r w:rsidR="00031BE5" w:rsidRPr="00BB5D86">
        <w:rPr>
          <w:rFonts w:asciiTheme="minorHAnsi" w:hAnsiTheme="minorHAnsi" w:cstheme="minorHAnsi"/>
          <w:sz w:val="22"/>
        </w:rPr>
        <w:t>,</w:t>
      </w:r>
      <w:r>
        <w:rPr>
          <w:rFonts w:asciiTheme="minorHAnsi" w:hAnsiTheme="minorHAnsi" w:cstheme="minorHAnsi"/>
          <w:sz w:val="22"/>
        </w:rPr>
        <w:t>835</w:t>
      </w:r>
      <w:r w:rsidR="00031BE5" w:rsidRPr="00BB5D86">
        <w:rPr>
          <w:rFonts w:asciiTheme="minorHAnsi" w:hAnsiTheme="minorHAnsi" w:cstheme="minorHAnsi"/>
          <w:sz w:val="22"/>
        </w:rPr>
        <w:t xml:space="preserve"> households, or 13.</w:t>
      </w:r>
      <w:r>
        <w:rPr>
          <w:rFonts w:asciiTheme="minorHAnsi" w:hAnsiTheme="minorHAnsi" w:cstheme="minorHAnsi"/>
          <w:sz w:val="22"/>
        </w:rPr>
        <w:t>1</w:t>
      </w:r>
      <w:r w:rsidR="00031BE5" w:rsidRPr="00BB5D86">
        <w:rPr>
          <w:rFonts w:asciiTheme="minorHAnsi" w:hAnsiTheme="minorHAnsi" w:cstheme="minorHAnsi"/>
          <w:sz w:val="22"/>
        </w:rPr>
        <w:t>% of all rent assistance recipients, were paying in excess of 50% of their household income in rent.</w:t>
      </w:r>
      <w:r w:rsidR="000A7C52">
        <w:rPr>
          <w:rFonts w:asciiTheme="minorHAnsi" w:hAnsiTheme="minorHAnsi" w:cstheme="minorHAnsi"/>
          <w:sz w:val="22"/>
        </w:rPr>
        <w:t xml:space="preserve"> </w:t>
      </w:r>
      <w:r w:rsidR="00031BE5" w:rsidRPr="00BB5D86">
        <w:rPr>
          <w:rFonts w:asciiTheme="minorHAnsi" w:hAnsiTheme="minorHAnsi" w:cstheme="minorHAnsi"/>
          <w:sz w:val="22"/>
        </w:rPr>
        <w:t xml:space="preserve">Of these household, 35% or 55,701 were on NSA. There were also a very high proportion of young students on Youth Allowance paying excessively high rents, with 27,876 or 37.9% of students paying more than half of their income in rent. </w:t>
      </w:r>
    </w:p>
    <w:p w:rsidR="00031BE5" w:rsidRPr="00BB5D86" w:rsidRDefault="00031BE5" w:rsidP="00031BE5">
      <w:pPr>
        <w:rPr>
          <w:rFonts w:asciiTheme="minorHAnsi" w:hAnsiTheme="minorHAnsi" w:cstheme="minorHAnsi"/>
          <w:sz w:val="22"/>
        </w:rPr>
      </w:pPr>
    </w:p>
    <w:p w:rsidR="00331423" w:rsidRPr="00BB5D86" w:rsidRDefault="00331423" w:rsidP="00331423">
      <w:pPr>
        <w:rPr>
          <w:rFonts w:asciiTheme="minorHAnsi" w:hAnsiTheme="minorHAnsi" w:cstheme="minorHAnsi"/>
          <w:sz w:val="22"/>
        </w:rPr>
      </w:pPr>
      <w:r w:rsidRPr="00BB5D86">
        <w:rPr>
          <w:rFonts w:asciiTheme="minorHAnsi" w:hAnsiTheme="minorHAnsi" w:cstheme="minorHAnsi"/>
          <w:sz w:val="22"/>
        </w:rPr>
        <w:t>Twenty-seven per cent of all Newstart Allowance recipients</w:t>
      </w:r>
      <w:r w:rsidR="00397038">
        <w:rPr>
          <w:rFonts w:asciiTheme="minorHAnsi" w:hAnsiTheme="minorHAnsi" w:cstheme="minorHAnsi"/>
          <w:sz w:val="22"/>
        </w:rPr>
        <w:t xml:space="preserve">, over 63,600 </w:t>
      </w:r>
      <w:r w:rsidR="002B0C3E">
        <w:rPr>
          <w:rFonts w:asciiTheme="minorHAnsi" w:hAnsiTheme="minorHAnsi" w:cstheme="minorHAnsi"/>
          <w:sz w:val="22"/>
        </w:rPr>
        <w:t xml:space="preserve">unemployed people, </w:t>
      </w:r>
      <w:r w:rsidRPr="00BB5D86">
        <w:rPr>
          <w:rFonts w:asciiTheme="minorHAnsi" w:hAnsiTheme="minorHAnsi" w:cstheme="minorHAnsi"/>
          <w:sz w:val="22"/>
        </w:rPr>
        <w:t xml:space="preserve">are paying 50% of their income in rent. </w:t>
      </w:r>
    </w:p>
    <w:p w:rsidR="00331423" w:rsidRPr="00BB5D86" w:rsidRDefault="00331423" w:rsidP="00331423">
      <w:pPr>
        <w:rPr>
          <w:rFonts w:asciiTheme="minorHAnsi" w:hAnsiTheme="minorHAnsi" w:cstheme="minorHAnsi"/>
          <w:sz w:val="22"/>
        </w:rPr>
      </w:pPr>
    </w:p>
    <w:p w:rsidR="00331423" w:rsidRDefault="00031BE5" w:rsidP="00331423">
      <w:pPr>
        <w:rPr>
          <w:rFonts w:asciiTheme="minorHAnsi" w:hAnsiTheme="minorHAnsi" w:cstheme="minorHAnsi"/>
          <w:sz w:val="22"/>
        </w:rPr>
      </w:pPr>
      <w:r>
        <w:rPr>
          <w:rFonts w:asciiTheme="minorHAnsi" w:hAnsiTheme="minorHAnsi" w:cstheme="minorHAnsi"/>
          <w:sz w:val="22"/>
        </w:rPr>
        <w:t xml:space="preserve">Our analysis indicates that people on </w:t>
      </w:r>
      <w:r w:rsidR="002B0C3E">
        <w:rPr>
          <w:rFonts w:asciiTheme="minorHAnsi" w:hAnsiTheme="minorHAnsi" w:cstheme="minorHAnsi"/>
          <w:sz w:val="22"/>
        </w:rPr>
        <w:t>Newstart A</w:t>
      </w:r>
      <w:r>
        <w:rPr>
          <w:rFonts w:asciiTheme="minorHAnsi" w:hAnsiTheme="minorHAnsi" w:cstheme="minorHAnsi"/>
          <w:sz w:val="22"/>
        </w:rPr>
        <w:t xml:space="preserve">llowance payments were </w:t>
      </w:r>
      <w:r w:rsidR="002B0C3E">
        <w:rPr>
          <w:rFonts w:asciiTheme="minorHAnsi" w:hAnsiTheme="minorHAnsi" w:cstheme="minorHAnsi"/>
          <w:sz w:val="22"/>
        </w:rPr>
        <w:t>four</w:t>
      </w:r>
      <w:r>
        <w:rPr>
          <w:rFonts w:asciiTheme="minorHAnsi" w:hAnsiTheme="minorHAnsi" w:cstheme="minorHAnsi"/>
          <w:sz w:val="22"/>
        </w:rPr>
        <w:t xml:space="preserve"> times as likely to be experie</w:t>
      </w:r>
      <w:r w:rsidR="000A7C52">
        <w:rPr>
          <w:rFonts w:asciiTheme="minorHAnsi" w:hAnsiTheme="minorHAnsi" w:cstheme="minorHAnsi"/>
          <w:sz w:val="22"/>
        </w:rPr>
        <w:t>n</w:t>
      </w:r>
      <w:r>
        <w:rPr>
          <w:rFonts w:asciiTheme="minorHAnsi" w:hAnsiTheme="minorHAnsi" w:cstheme="minorHAnsi"/>
          <w:sz w:val="22"/>
        </w:rPr>
        <w:t xml:space="preserve">cing extreme housing stress, compared </w:t>
      </w:r>
      <w:r w:rsidR="000A7C52">
        <w:rPr>
          <w:rFonts w:asciiTheme="minorHAnsi" w:hAnsiTheme="minorHAnsi" w:cstheme="minorHAnsi"/>
          <w:sz w:val="22"/>
        </w:rPr>
        <w:t xml:space="preserve">with </w:t>
      </w:r>
      <w:r w:rsidR="002B0C3E">
        <w:rPr>
          <w:rFonts w:asciiTheme="minorHAnsi" w:hAnsiTheme="minorHAnsi" w:cstheme="minorHAnsi"/>
          <w:sz w:val="22"/>
        </w:rPr>
        <w:t>Age Pension recipients</w:t>
      </w:r>
      <w:r>
        <w:rPr>
          <w:rFonts w:asciiTheme="minorHAnsi" w:hAnsiTheme="minorHAnsi" w:cstheme="minorHAnsi"/>
          <w:sz w:val="22"/>
        </w:rPr>
        <w:t xml:space="preserve">. </w:t>
      </w:r>
      <w:r w:rsidR="000A7C52">
        <w:rPr>
          <w:rFonts w:asciiTheme="minorHAnsi" w:hAnsiTheme="minorHAnsi" w:cstheme="minorHAnsi"/>
          <w:sz w:val="22"/>
        </w:rPr>
        <w:t xml:space="preserve"> </w:t>
      </w:r>
      <w:r w:rsidR="002B0C3E">
        <w:rPr>
          <w:rFonts w:asciiTheme="minorHAnsi" w:hAnsiTheme="minorHAnsi" w:cstheme="minorHAnsi"/>
          <w:sz w:val="22"/>
        </w:rPr>
        <w:t xml:space="preserve">Over 39% of students on Youth Allowance are </w:t>
      </w:r>
      <w:r w:rsidR="000A7C52">
        <w:rPr>
          <w:rFonts w:asciiTheme="minorHAnsi" w:hAnsiTheme="minorHAnsi" w:cstheme="minorHAnsi"/>
          <w:sz w:val="22"/>
        </w:rPr>
        <w:t>paying</w:t>
      </w:r>
      <w:r w:rsidR="002B0C3E">
        <w:rPr>
          <w:rFonts w:asciiTheme="minorHAnsi" w:hAnsiTheme="minorHAnsi" w:cstheme="minorHAnsi"/>
          <w:sz w:val="22"/>
        </w:rPr>
        <w:t xml:space="preserve"> over half of their income in rent. </w:t>
      </w:r>
      <w:r w:rsidR="000A7C52">
        <w:rPr>
          <w:rFonts w:asciiTheme="minorHAnsi" w:hAnsiTheme="minorHAnsi" w:cstheme="minorHAnsi"/>
          <w:sz w:val="22"/>
        </w:rPr>
        <w:t xml:space="preserve"> </w:t>
      </w:r>
      <w:r>
        <w:rPr>
          <w:rFonts w:asciiTheme="minorHAnsi" w:hAnsiTheme="minorHAnsi" w:cstheme="minorHAnsi"/>
          <w:sz w:val="22"/>
        </w:rPr>
        <w:t xml:space="preserve">The “sharers” Rent Assistance rules, combined with low rates of </w:t>
      </w:r>
      <w:r w:rsidR="002B0C3E">
        <w:rPr>
          <w:rFonts w:asciiTheme="minorHAnsi" w:hAnsiTheme="minorHAnsi" w:cstheme="minorHAnsi"/>
          <w:sz w:val="22"/>
        </w:rPr>
        <w:t xml:space="preserve">social security </w:t>
      </w:r>
      <w:r>
        <w:rPr>
          <w:rFonts w:asciiTheme="minorHAnsi" w:hAnsiTheme="minorHAnsi" w:cstheme="minorHAnsi"/>
          <w:sz w:val="22"/>
        </w:rPr>
        <w:t>payment</w:t>
      </w:r>
      <w:r w:rsidR="002B0C3E">
        <w:rPr>
          <w:rFonts w:asciiTheme="minorHAnsi" w:hAnsiTheme="minorHAnsi" w:cstheme="minorHAnsi"/>
          <w:sz w:val="22"/>
        </w:rPr>
        <w:t>s</w:t>
      </w:r>
      <w:r>
        <w:rPr>
          <w:rFonts w:asciiTheme="minorHAnsi" w:hAnsiTheme="minorHAnsi" w:cstheme="minorHAnsi"/>
          <w:sz w:val="22"/>
        </w:rPr>
        <w:t xml:space="preserve">, explain why people on allowance payments are more likely to experience housing stress. </w:t>
      </w:r>
    </w:p>
    <w:p w:rsidR="000A7C52" w:rsidRPr="00BB5D86" w:rsidRDefault="000A7C52" w:rsidP="00331423">
      <w:pPr>
        <w:rPr>
          <w:rFonts w:asciiTheme="minorHAnsi" w:hAnsiTheme="minorHAnsi" w:cstheme="minorHAnsi"/>
          <w:sz w:val="22"/>
        </w:rPr>
      </w:pPr>
    </w:p>
    <w:p w:rsidR="00331423" w:rsidRPr="00BB5D86" w:rsidRDefault="00331423" w:rsidP="00331423">
      <w:pPr>
        <w:rPr>
          <w:rFonts w:asciiTheme="minorHAnsi" w:hAnsiTheme="minorHAnsi" w:cstheme="minorHAnsi"/>
          <w:sz w:val="22"/>
        </w:rPr>
      </w:pPr>
      <w:r w:rsidRPr="00BB5D86">
        <w:rPr>
          <w:rFonts w:asciiTheme="minorHAnsi" w:hAnsiTheme="minorHAnsi" w:cstheme="minorHAnsi"/>
          <w:sz w:val="22"/>
        </w:rPr>
        <w:t>Some people receiving social security payments who are sharing accommodation with others have their Rent Assistance rent reduced by a third which can have a very severe impact on their ability to find housing. These rules, introduced in 1997, reduce the maximum amount of Rent Assistance to $82.67 a fortnight as at 1 January 2014 instead of the maximum rate of Rent Assistance, worth $124 per fortnight.</w:t>
      </w:r>
    </w:p>
    <w:p w:rsidR="00331423" w:rsidRPr="00BB5D86" w:rsidRDefault="00331423" w:rsidP="00331423">
      <w:pPr>
        <w:rPr>
          <w:rFonts w:asciiTheme="minorHAnsi" w:hAnsiTheme="minorHAnsi" w:cstheme="minorHAnsi"/>
          <w:sz w:val="22"/>
        </w:rPr>
      </w:pPr>
    </w:p>
    <w:p w:rsidR="00331423" w:rsidRPr="00BB5D86" w:rsidRDefault="00331423" w:rsidP="003075EF">
      <w:pPr>
        <w:tabs>
          <w:tab w:val="left" w:pos="5880"/>
        </w:tabs>
        <w:jc w:val="both"/>
        <w:rPr>
          <w:rFonts w:asciiTheme="minorHAnsi" w:hAnsiTheme="minorHAnsi" w:cstheme="minorHAnsi"/>
          <w:sz w:val="22"/>
        </w:rPr>
      </w:pPr>
      <w:r w:rsidRPr="00BB5D86">
        <w:rPr>
          <w:rFonts w:asciiTheme="minorHAnsi" w:hAnsiTheme="minorHAnsi" w:cstheme="minorHAnsi"/>
          <w:sz w:val="22"/>
        </w:rPr>
        <w:t xml:space="preserve">In 1996, around 80,000 people were </w:t>
      </w:r>
      <w:r w:rsidR="000A7C52">
        <w:rPr>
          <w:rFonts w:asciiTheme="minorHAnsi" w:hAnsiTheme="minorHAnsi" w:cstheme="minorHAnsi"/>
          <w:sz w:val="22"/>
        </w:rPr>
        <w:t xml:space="preserve">affected </w:t>
      </w:r>
      <w:r w:rsidRPr="00BB5D86">
        <w:rPr>
          <w:rFonts w:asciiTheme="minorHAnsi" w:hAnsiTheme="minorHAnsi" w:cstheme="minorHAnsi"/>
          <w:sz w:val="22"/>
        </w:rPr>
        <w:t xml:space="preserve">by the </w:t>
      </w:r>
      <w:r w:rsidR="000A7C52">
        <w:rPr>
          <w:rFonts w:asciiTheme="minorHAnsi" w:hAnsiTheme="minorHAnsi" w:cstheme="minorHAnsi"/>
          <w:sz w:val="22"/>
        </w:rPr>
        <w:t>“</w:t>
      </w:r>
      <w:r w:rsidRPr="00BB5D86">
        <w:rPr>
          <w:rFonts w:asciiTheme="minorHAnsi" w:hAnsiTheme="minorHAnsi" w:cstheme="minorHAnsi"/>
          <w:sz w:val="22"/>
        </w:rPr>
        <w:t>sharers’ rules</w:t>
      </w:r>
      <w:r w:rsidR="000A7C52">
        <w:rPr>
          <w:rFonts w:asciiTheme="minorHAnsi" w:hAnsiTheme="minorHAnsi" w:cstheme="minorHAnsi"/>
          <w:sz w:val="22"/>
        </w:rPr>
        <w:t>”</w:t>
      </w:r>
      <w:r w:rsidRPr="00BB5D86">
        <w:rPr>
          <w:rFonts w:asciiTheme="minorHAnsi" w:hAnsiTheme="minorHAnsi" w:cstheme="minorHAnsi"/>
          <w:sz w:val="22"/>
        </w:rPr>
        <w:t xml:space="preserve">, and </w:t>
      </w:r>
      <w:r w:rsidR="00397038">
        <w:rPr>
          <w:rFonts w:asciiTheme="minorHAnsi" w:hAnsiTheme="minorHAnsi" w:cstheme="minorHAnsi"/>
          <w:sz w:val="22"/>
        </w:rPr>
        <w:t>at June</w:t>
      </w:r>
      <w:r w:rsidR="00397038" w:rsidRPr="00BB5D86">
        <w:rPr>
          <w:rFonts w:asciiTheme="minorHAnsi" w:hAnsiTheme="minorHAnsi" w:cstheme="minorHAnsi"/>
          <w:sz w:val="22"/>
        </w:rPr>
        <w:t xml:space="preserve"> </w:t>
      </w:r>
      <w:r w:rsidRPr="00BB5D86">
        <w:rPr>
          <w:rFonts w:asciiTheme="minorHAnsi" w:hAnsiTheme="minorHAnsi" w:cstheme="minorHAnsi"/>
          <w:sz w:val="22"/>
        </w:rPr>
        <w:t>201</w:t>
      </w:r>
      <w:r w:rsidR="00031BE5">
        <w:rPr>
          <w:rFonts w:asciiTheme="minorHAnsi" w:hAnsiTheme="minorHAnsi" w:cstheme="minorHAnsi"/>
          <w:sz w:val="22"/>
        </w:rPr>
        <w:t>3</w:t>
      </w:r>
      <w:r w:rsidRPr="00BB5D86">
        <w:rPr>
          <w:rFonts w:asciiTheme="minorHAnsi" w:hAnsiTheme="minorHAnsi" w:cstheme="minorHAnsi"/>
          <w:sz w:val="22"/>
        </w:rPr>
        <w:t xml:space="preserve">, </w:t>
      </w:r>
      <w:r w:rsidR="00397038">
        <w:rPr>
          <w:rFonts w:asciiTheme="minorHAnsi" w:hAnsiTheme="minorHAnsi" w:cstheme="minorHAnsi"/>
          <w:sz w:val="22"/>
        </w:rPr>
        <w:t>183,100</w:t>
      </w:r>
      <w:r w:rsidRPr="00BB5D86">
        <w:rPr>
          <w:rFonts w:asciiTheme="minorHAnsi" w:hAnsiTheme="minorHAnsi" w:cstheme="minorHAnsi"/>
          <w:sz w:val="22"/>
        </w:rPr>
        <w:t xml:space="preserve"> people had been</w:t>
      </w:r>
      <w:r w:rsidR="000A7C52">
        <w:rPr>
          <w:rFonts w:asciiTheme="minorHAnsi" w:hAnsiTheme="minorHAnsi" w:cstheme="minorHAnsi"/>
          <w:sz w:val="22"/>
        </w:rPr>
        <w:t xml:space="preserve"> affected</w:t>
      </w:r>
      <w:r w:rsidRPr="00BB5D86">
        <w:rPr>
          <w:rFonts w:asciiTheme="minorHAnsi" w:hAnsiTheme="minorHAnsi" w:cstheme="minorHAnsi"/>
          <w:sz w:val="22"/>
        </w:rPr>
        <w:t>.</w:t>
      </w:r>
      <w:r w:rsidRPr="00BB5D86">
        <w:rPr>
          <w:rStyle w:val="FootnoteReference"/>
          <w:rFonts w:asciiTheme="minorHAnsi" w:hAnsiTheme="minorHAnsi" w:cstheme="minorHAnsi"/>
          <w:sz w:val="22"/>
        </w:rPr>
        <w:footnoteReference w:id="18"/>
      </w:r>
      <w:r w:rsidRPr="00BB5D86">
        <w:rPr>
          <w:rFonts w:asciiTheme="minorHAnsi" w:hAnsiTheme="minorHAnsi" w:cstheme="minorHAnsi"/>
          <w:sz w:val="22"/>
        </w:rPr>
        <w:t xml:space="preserve"> </w:t>
      </w:r>
    </w:p>
    <w:p w:rsidR="00331423" w:rsidRPr="00BB5D86" w:rsidRDefault="00331423" w:rsidP="00331423">
      <w:pPr>
        <w:jc w:val="both"/>
        <w:rPr>
          <w:rFonts w:asciiTheme="minorHAnsi" w:hAnsiTheme="minorHAnsi" w:cstheme="minorHAnsi"/>
          <w:b/>
          <w:bCs/>
          <w:color w:val="4A442A" w:themeColor="background2" w:themeShade="40"/>
          <w:sz w:val="22"/>
          <w:lang w:eastAsia="en-AU"/>
        </w:rPr>
      </w:pPr>
    </w:p>
    <w:p w:rsidR="00331423" w:rsidRPr="00331423" w:rsidRDefault="00331423" w:rsidP="00331423">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auto"/>
          <w:sz w:val="22"/>
          <w:lang w:eastAsia="en-AU"/>
        </w:rPr>
      </w:pPr>
      <w:r>
        <w:rPr>
          <w:rFonts w:asciiTheme="minorHAnsi" w:hAnsiTheme="minorHAnsi" w:cstheme="minorHAnsi"/>
          <w:b/>
          <w:color w:val="auto"/>
          <w:sz w:val="22"/>
          <w:lang w:eastAsia="en-AU"/>
        </w:rPr>
        <w:t>Recommendation #</w:t>
      </w:r>
      <w:r w:rsidR="000966B1">
        <w:rPr>
          <w:rFonts w:asciiTheme="minorHAnsi" w:hAnsiTheme="minorHAnsi" w:cstheme="minorHAnsi"/>
          <w:b/>
          <w:color w:val="auto"/>
          <w:sz w:val="22"/>
          <w:lang w:eastAsia="en-AU"/>
        </w:rPr>
        <w:t>8:</w:t>
      </w:r>
      <w:r>
        <w:rPr>
          <w:rFonts w:asciiTheme="minorHAnsi" w:hAnsiTheme="minorHAnsi" w:cstheme="minorHAnsi"/>
          <w:b/>
          <w:color w:val="auto"/>
          <w:sz w:val="22"/>
          <w:lang w:eastAsia="en-AU"/>
        </w:rPr>
        <w:t xml:space="preserve"> </w:t>
      </w:r>
      <w:r w:rsidRPr="00412655">
        <w:rPr>
          <w:rFonts w:asciiTheme="minorHAnsi" w:hAnsiTheme="minorHAnsi" w:cstheme="minorHAnsi"/>
          <w:color w:val="auto"/>
          <w:sz w:val="22"/>
          <w:lang w:eastAsia="en-AU"/>
        </w:rPr>
        <w:t xml:space="preserve">That the Government adopt measures to improve housing and rental affordability by </w:t>
      </w:r>
      <w:r w:rsidRPr="00412655">
        <w:rPr>
          <w:rFonts w:asciiTheme="minorHAnsi" w:hAnsiTheme="minorHAnsi" w:cstheme="minorHAnsi"/>
          <w:sz w:val="22"/>
        </w:rPr>
        <w:t>increasing the maximum rate of Rent Assistance by 30%, indexing Rent Assistance to movements in national rents</w:t>
      </w:r>
      <w:r w:rsidR="000A7C52">
        <w:rPr>
          <w:rFonts w:asciiTheme="minorHAnsi" w:hAnsiTheme="minorHAnsi" w:cstheme="minorHAnsi"/>
          <w:sz w:val="22"/>
        </w:rPr>
        <w:t xml:space="preserve"> and </w:t>
      </w:r>
      <w:r w:rsidRPr="00412655">
        <w:rPr>
          <w:rFonts w:asciiTheme="minorHAnsi" w:hAnsiTheme="minorHAnsi" w:cstheme="minorHAnsi"/>
          <w:sz w:val="22"/>
        </w:rPr>
        <w:t>tasking the Productivity Commission to undertake a review of the effectiveness of Commonwealth housing assistance (including the appropriate roles of State and Territory Governments) and repealing the ‘sharers’ Rent Assistance rules.</w:t>
      </w:r>
    </w:p>
    <w:p w:rsidR="00331423" w:rsidRPr="00FE420F" w:rsidRDefault="00331423" w:rsidP="00331423">
      <w:pPr>
        <w:jc w:val="both"/>
        <w:rPr>
          <w:rFonts w:asciiTheme="minorHAnsi" w:hAnsiTheme="minorHAnsi" w:cstheme="minorHAnsi"/>
          <w:b/>
          <w:color w:val="0070C0"/>
          <w:lang w:eastAsia="en-AU"/>
        </w:rPr>
      </w:pPr>
    </w:p>
    <w:p w:rsidR="004454B7" w:rsidRPr="00FE420F" w:rsidRDefault="00016E4B" w:rsidP="004454B7">
      <w:pPr>
        <w:pStyle w:val="Heading3"/>
        <w:rPr>
          <w:sz w:val="24"/>
          <w:szCs w:val="24"/>
        </w:rPr>
      </w:pPr>
      <w:bookmarkStart w:id="11" w:name="_Toc379199687"/>
      <w:r w:rsidRPr="00FE420F">
        <w:rPr>
          <w:sz w:val="24"/>
          <w:szCs w:val="24"/>
        </w:rPr>
        <w:t>Improve</w:t>
      </w:r>
      <w:r w:rsidR="004454B7" w:rsidRPr="00FE420F">
        <w:rPr>
          <w:sz w:val="24"/>
          <w:szCs w:val="24"/>
        </w:rPr>
        <w:t xml:space="preserve"> Indigenous </w:t>
      </w:r>
      <w:r w:rsidR="0047463E" w:rsidRPr="00FE420F">
        <w:rPr>
          <w:sz w:val="24"/>
          <w:szCs w:val="24"/>
        </w:rPr>
        <w:t>Employment and Training</w:t>
      </w:r>
      <w:r w:rsidRPr="00FE420F">
        <w:rPr>
          <w:sz w:val="24"/>
          <w:szCs w:val="24"/>
        </w:rPr>
        <w:t xml:space="preserve"> programs</w:t>
      </w:r>
      <w:bookmarkEnd w:id="11"/>
    </w:p>
    <w:p w:rsidR="004454B7" w:rsidRDefault="004454B7" w:rsidP="004454B7">
      <w:pPr>
        <w:rPr>
          <w:rFonts w:asciiTheme="minorHAnsi" w:hAnsiTheme="minorHAnsi" w:cstheme="minorHAnsi"/>
          <w:sz w:val="22"/>
        </w:rPr>
      </w:pPr>
    </w:p>
    <w:p w:rsidR="00AA79A3" w:rsidRPr="003075EF" w:rsidRDefault="00AA79A3" w:rsidP="00AA79A3">
      <w:pPr>
        <w:rPr>
          <w:rFonts w:asciiTheme="minorHAnsi" w:hAnsiTheme="minorHAnsi" w:cstheme="minorHAnsi"/>
          <w:sz w:val="22"/>
          <w:szCs w:val="22"/>
        </w:rPr>
      </w:pPr>
      <w:r w:rsidRPr="003075EF">
        <w:rPr>
          <w:rFonts w:asciiTheme="minorHAnsi" w:hAnsiTheme="minorHAnsi" w:cstheme="minorHAnsi"/>
          <w:sz w:val="22"/>
          <w:szCs w:val="22"/>
        </w:rPr>
        <w:t>Recent reports have revealed that the growth in Indigenous employment over the past 15 years has stalled</w:t>
      </w:r>
      <w:r w:rsidR="000A7C52">
        <w:rPr>
          <w:rFonts w:asciiTheme="minorHAnsi" w:hAnsiTheme="minorHAnsi" w:cstheme="minorHAnsi"/>
          <w:sz w:val="22"/>
          <w:szCs w:val="22"/>
        </w:rPr>
        <w:t xml:space="preserve">. </w:t>
      </w:r>
      <w:r w:rsidRPr="003075EF">
        <w:rPr>
          <w:rFonts w:asciiTheme="minorHAnsi" w:hAnsiTheme="minorHAnsi" w:cstheme="minorHAnsi"/>
          <w:sz w:val="22"/>
          <w:szCs w:val="22"/>
        </w:rPr>
        <w:t>More Indigenous Australians are currently in work than in previous years, but the growth in jobs has not kept up with population increases.</w:t>
      </w:r>
      <w:r w:rsidRPr="003075EF">
        <w:rPr>
          <w:rStyle w:val="FootnoteReference"/>
          <w:rFonts w:asciiTheme="minorHAnsi" w:hAnsiTheme="minorHAnsi" w:cstheme="minorHAnsi"/>
          <w:sz w:val="22"/>
          <w:szCs w:val="22"/>
        </w:rPr>
        <w:footnoteReference w:id="19"/>
      </w:r>
    </w:p>
    <w:p w:rsidR="00AA79A3" w:rsidRPr="00BB5D86" w:rsidRDefault="00AA79A3" w:rsidP="004454B7">
      <w:pPr>
        <w:rPr>
          <w:rFonts w:asciiTheme="minorHAnsi" w:hAnsiTheme="minorHAnsi" w:cstheme="minorHAnsi"/>
          <w:sz w:val="22"/>
        </w:rPr>
      </w:pPr>
    </w:p>
    <w:p w:rsidR="009B0456" w:rsidRPr="00BB5D86" w:rsidRDefault="009B0456" w:rsidP="009B0456">
      <w:pPr>
        <w:rPr>
          <w:rFonts w:asciiTheme="minorHAnsi" w:hAnsiTheme="minorHAnsi" w:cstheme="minorHAnsi"/>
          <w:sz w:val="22"/>
        </w:rPr>
      </w:pPr>
      <w:r w:rsidRPr="00BB5D86">
        <w:rPr>
          <w:rFonts w:asciiTheme="minorHAnsi" w:hAnsiTheme="minorHAnsi" w:cstheme="minorHAnsi"/>
          <w:sz w:val="22"/>
        </w:rPr>
        <w:t>The Government’s Review of Indigenous Employment and Training provides an ideal opportunity to improve genuine opportunities for employment and community participation.</w:t>
      </w:r>
      <w:r w:rsidRPr="00BB5D86">
        <w:rPr>
          <w:rStyle w:val="FootnoteReference"/>
          <w:rFonts w:asciiTheme="minorHAnsi" w:hAnsiTheme="minorHAnsi" w:cstheme="minorHAnsi"/>
          <w:sz w:val="22"/>
        </w:rPr>
        <w:footnoteReference w:id="20"/>
      </w:r>
      <w:r w:rsidRPr="00BB5D86">
        <w:rPr>
          <w:rFonts w:asciiTheme="minorHAnsi" w:hAnsiTheme="minorHAnsi" w:cstheme="minorHAnsi"/>
          <w:sz w:val="22"/>
        </w:rPr>
        <w:t xml:space="preserve"> </w:t>
      </w:r>
    </w:p>
    <w:p w:rsidR="009B0456" w:rsidRDefault="009B0456" w:rsidP="009B0456">
      <w:pPr>
        <w:autoSpaceDE w:val="0"/>
        <w:autoSpaceDN w:val="0"/>
        <w:adjustRightInd w:val="0"/>
        <w:rPr>
          <w:rFonts w:ascii="Calibri" w:eastAsia="Times New Roman" w:hAnsi="Calibri" w:cs="Calibri"/>
          <w:b/>
          <w:bCs/>
          <w:sz w:val="22"/>
          <w:szCs w:val="22"/>
          <w:lang w:eastAsia="en-AU"/>
        </w:rPr>
      </w:pPr>
    </w:p>
    <w:p w:rsidR="009B0456" w:rsidRDefault="000A7C52" w:rsidP="009B0456">
      <w:pPr>
        <w:rPr>
          <w:rFonts w:asciiTheme="minorHAnsi" w:hAnsiTheme="minorHAnsi" w:cstheme="minorHAnsi"/>
          <w:sz w:val="22"/>
        </w:rPr>
      </w:pPr>
      <w:r>
        <w:rPr>
          <w:rFonts w:asciiTheme="minorHAnsi" w:hAnsiTheme="minorHAnsi" w:cstheme="minorHAnsi"/>
          <w:sz w:val="22"/>
        </w:rPr>
        <w:t xml:space="preserve">NWRN proposals </w:t>
      </w:r>
      <w:r w:rsidR="009B0456" w:rsidRPr="00BB5D86">
        <w:rPr>
          <w:rFonts w:asciiTheme="minorHAnsi" w:hAnsiTheme="minorHAnsi" w:cstheme="minorHAnsi"/>
          <w:sz w:val="22"/>
        </w:rPr>
        <w:t xml:space="preserve">for improving employment and participation outcomes for Indigenous people living in rural and remote </w:t>
      </w:r>
      <w:r w:rsidR="009B0456">
        <w:rPr>
          <w:rFonts w:asciiTheme="minorHAnsi" w:hAnsiTheme="minorHAnsi" w:cstheme="minorHAnsi"/>
          <w:sz w:val="22"/>
        </w:rPr>
        <w:t>communities</w:t>
      </w:r>
      <w:r w:rsidR="009B0456" w:rsidRPr="00BB5D86">
        <w:rPr>
          <w:rFonts w:asciiTheme="minorHAnsi" w:hAnsiTheme="minorHAnsi" w:cstheme="minorHAnsi"/>
          <w:sz w:val="22"/>
        </w:rPr>
        <w:t xml:space="preserve"> include:</w:t>
      </w:r>
    </w:p>
    <w:p w:rsidR="009B0456" w:rsidRPr="00BB5D86" w:rsidRDefault="009B0456" w:rsidP="009B0456">
      <w:pPr>
        <w:rPr>
          <w:rFonts w:asciiTheme="minorHAnsi" w:hAnsiTheme="minorHAnsi" w:cstheme="minorHAnsi"/>
          <w:sz w:val="22"/>
        </w:rPr>
      </w:pPr>
    </w:p>
    <w:p w:rsidR="009B0456" w:rsidRPr="00BB5D86" w:rsidRDefault="009B0456" w:rsidP="009B0456">
      <w:pPr>
        <w:pStyle w:val="ListParagraph"/>
        <w:numPr>
          <w:ilvl w:val="0"/>
          <w:numId w:val="31"/>
        </w:numPr>
        <w:rPr>
          <w:rFonts w:asciiTheme="minorHAnsi" w:hAnsiTheme="minorHAnsi" w:cstheme="minorHAnsi"/>
          <w:sz w:val="22"/>
        </w:rPr>
      </w:pPr>
      <w:r w:rsidRPr="00BB5D86">
        <w:rPr>
          <w:rFonts w:asciiTheme="minorHAnsi" w:hAnsiTheme="minorHAnsi" w:cstheme="minorHAnsi"/>
          <w:sz w:val="22"/>
        </w:rPr>
        <w:t xml:space="preserve">increasing funding and more effective support for long term and disadvantaged job seekers; </w:t>
      </w:r>
    </w:p>
    <w:p w:rsidR="009B0456" w:rsidRPr="00BB5D86" w:rsidRDefault="009B0456" w:rsidP="009B0456">
      <w:pPr>
        <w:pStyle w:val="ListParagraph"/>
        <w:numPr>
          <w:ilvl w:val="0"/>
          <w:numId w:val="31"/>
        </w:numPr>
        <w:rPr>
          <w:rFonts w:asciiTheme="minorHAnsi" w:hAnsiTheme="minorHAnsi" w:cstheme="minorHAnsi"/>
          <w:sz w:val="22"/>
        </w:rPr>
      </w:pPr>
      <w:r w:rsidRPr="00BB5D86">
        <w:rPr>
          <w:rFonts w:asciiTheme="minorHAnsi" w:hAnsiTheme="minorHAnsi" w:cstheme="minorHAnsi"/>
          <w:sz w:val="22"/>
        </w:rPr>
        <w:t>address</w:t>
      </w:r>
      <w:r>
        <w:rPr>
          <w:rFonts w:asciiTheme="minorHAnsi" w:hAnsiTheme="minorHAnsi" w:cstheme="minorHAnsi"/>
          <w:sz w:val="22"/>
        </w:rPr>
        <w:t>ing</w:t>
      </w:r>
      <w:r w:rsidRPr="00BB5D86">
        <w:rPr>
          <w:rFonts w:asciiTheme="minorHAnsi" w:hAnsiTheme="minorHAnsi" w:cstheme="minorHAnsi"/>
          <w:sz w:val="22"/>
        </w:rPr>
        <w:t xml:space="preserve"> the challenges facing the system because of increasing levels of disadvantage among job seekers, in particular, larger cohorts with a disability; </w:t>
      </w:r>
    </w:p>
    <w:p w:rsidR="009B0456" w:rsidRPr="00BB5D86" w:rsidRDefault="009B0456" w:rsidP="009B0456">
      <w:pPr>
        <w:pStyle w:val="ListParagraph"/>
        <w:numPr>
          <w:ilvl w:val="0"/>
          <w:numId w:val="31"/>
        </w:numPr>
        <w:rPr>
          <w:rFonts w:asciiTheme="minorHAnsi" w:hAnsiTheme="minorHAnsi" w:cstheme="minorHAnsi"/>
          <w:sz w:val="22"/>
        </w:rPr>
      </w:pPr>
      <w:r>
        <w:rPr>
          <w:rFonts w:asciiTheme="minorHAnsi" w:hAnsiTheme="minorHAnsi" w:cstheme="minorHAnsi"/>
          <w:sz w:val="22"/>
        </w:rPr>
        <w:t xml:space="preserve">locating </w:t>
      </w:r>
      <w:r w:rsidRPr="00BB5D86">
        <w:rPr>
          <w:rFonts w:asciiTheme="minorHAnsi" w:hAnsiTheme="minorHAnsi" w:cstheme="minorHAnsi"/>
          <w:sz w:val="22"/>
        </w:rPr>
        <w:t>service providers in local communities where people live;</w:t>
      </w:r>
    </w:p>
    <w:p w:rsidR="009B0456" w:rsidRPr="00BB5D86" w:rsidRDefault="009B0456" w:rsidP="009B0456">
      <w:pPr>
        <w:pStyle w:val="ListParagraph"/>
        <w:numPr>
          <w:ilvl w:val="0"/>
          <w:numId w:val="31"/>
        </w:numPr>
        <w:rPr>
          <w:rFonts w:asciiTheme="minorHAnsi" w:hAnsiTheme="minorHAnsi" w:cstheme="minorHAnsi"/>
          <w:sz w:val="22"/>
        </w:rPr>
      </w:pPr>
      <w:r w:rsidRPr="00BB5D86">
        <w:rPr>
          <w:rFonts w:asciiTheme="minorHAnsi" w:hAnsiTheme="minorHAnsi" w:cstheme="minorHAnsi"/>
          <w:sz w:val="22"/>
        </w:rPr>
        <w:t>increas</w:t>
      </w:r>
      <w:r>
        <w:rPr>
          <w:rFonts w:asciiTheme="minorHAnsi" w:hAnsiTheme="minorHAnsi" w:cstheme="minorHAnsi"/>
          <w:sz w:val="22"/>
        </w:rPr>
        <w:t>ing</w:t>
      </w:r>
      <w:r w:rsidRPr="00BB5D86">
        <w:rPr>
          <w:rFonts w:asciiTheme="minorHAnsi" w:hAnsiTheme="minorHAnsi" w:cstheme="minorHAnsi"/>
          <w:sz w:val="22"/>
        </w:rPr>
        <w:t xml:space="preserve"> awareness of and access and availability to Indigenous interpreters;</w:t>
      </w:r>
    </w:p>
    <w:p w:rsidR="009B0456" w:rsidRPr="00BB5D86" w:rsidRDefault="009B0456" w:rsidP="009B0456">
      <w:pPr>
        <w:pStyle w:val="ListParagraph"/>
        <w:numPr>
          <w:ilvl w:val="0"/>
          <w:numId w:val="31"/>
        </w:numPr>
        <w:rPr>
          <w:rFonts w:asciiTheme="minorHAnsi" w:hAnsiTheme="minorHAnsi" w:cstheme="minorHAnsi"/>
          <w:sz w:val="22"/>
        </w:rPr>
      </w:pPr>
      <w:r>
        <w:rPr>
          <w:rFonts w:asciiTheme="minorHAnsi" w:hAnsiTheme="minorHAnsi" w:cstheme="minorHAnsi"/>
          <w:sz w:val="22"/>
        </w:rPr>
        <w:t>encouraging</w:t>
      </w:r>
      <w:r w:rsidRPr="00BB5D86">
        <w:rPr>
          <w:rFonts w:asciiTheme="minorHAnsi" w:hAnsiTheme="minorHAnsi" w:cstheme="minorHAnsi"/>
          <w:sz w:val="22"/>
        </w:rPr>
        <w:t xml:space="preserve"> greater take-up of Language, Literacy and Numeracy programs and design  programs for Indigenous job seekers;</w:t>
      </w:r>
    </w:p>
    <w:p w:rsidR="009B0456" w:rsidRPr="00BB5D86" w:rsidRDefault="009B0456" w:rsidP="009B0456">
      <w:pPr>
        <w:pStyle w:val="ListParagraph"/>
        <w:numPr>
          <w:ilvl w:val="0"/>
          <w:numId w:val="31"/>
        </w:numPr>
        <w:rPr>
          <w:rFonts w:asciiTheme="minorHAnsi" w:hAnsiTheme="minorHAnsi" w:cstheme="minorHAnsi"/>
          <w:sz w:val="22"/>
        </w:rPr>
      </w:pPr>
      <w:r w:rsidRPr="00BB5D86">
        <w:rPr>
          <w:rFonts w:asciiTheme="minorHAnsi" w:hAnsiTheme="minorHAnsi" w:cstheme="minorHAnsi"/>
          <w:sz w:val="22"/>
        </w:rPr>
        <w:t xml:space="preserve">the critical importance of disclosure and appropriate referral, streaming and assessment, and the need for appropriately trained employment consultants; </w:t>
      </w:r>
    </w:p>
    <w:p w:rsidR="009B0456" w:rsidRPr="00BB5D86" w:rsidRDefault="009B0456" w:rsidP="009B0456">
      <w:pPr>
        <w:pStyle w:val="ListParagraph"/>
        <w:numPr>
          <w:ilvl w:val="0"/>
          <w:numId w:val="31"/>
        </w:numPr>
        <w:rPr>
          <w:rFonts w:asciiTheme="minorHAnsi" w:hAnsiTheme="minorHAnsi" w:cstheme="minorHAnsi"/>
          <w:sz w:val="22"/>
        </w:rPr>
      </w:pPr>
      <w:r w:rsidRPr="00BB5D86">
        <w:rPr>
          <w:rFonts w:asciiTheme="minorHAnsi" w:hAnsiTheme="minorHAnsi" w:cstheme="minorHAnsi"/>
          <w:sz w:val="22"/>
        </w:rPr>
        <w:t xml:space="preserve">re-focussing initial engagement with job seekers on building relationships, genuine partnerships and trust; </w:t>
      </w:r>
    </w:p>
    <w:p w:rsidR="009B0456" w:rsidRPr="00BB5D86" w:rsidRDefault="009B0456" w:rsidP="009B0456">
      <w:pPr>
        <w:pStyle w:val="ListParagraph"/>
        <w:numPr>
          <w:ilvl w:val="0"/>
          <w:numId w:val="31"/>
        </w:numPr>
        <w:rPr>
          <w:rFonts w:asciiTheme="minorHAnsi" w:hAnsiTheme="minorHAnsi" w:cstheme="minorHAnsi"/>
          <w:sz w:val="22"/>
        </w:rPr>
      </w:pPr>
      <w:r w:rsidRPr="00BB5D86">
        <w:rPr>
          <w:rFonts w:asciiTheme="minorHAnsi" w:hAnsiTheme="minorHAnsi" w:cstheme="minorHAnsi"/>
          <w:sz w:val="22"/>
        </w:rPr>
        <w:t xml:space="preserve">improve </w:t>
      </w:r>
      <w:r>
        <w:rPr>
          <w:rFonts w:asciiTheme="minorHAnsi" w:hAnsiTheme="minorHAnsi" w:cstheme="minorHAnsi"/>
          <w:sz w:val="22"/>
        </w:rPr>
        <w:t xml:space="preserve">the </w:t>
      </w:r>
      <w:r w:rsidRPr="00BB5D86">
        <w:rPr>
          <w:rFonts w:asciiTheme="minorHAnsi" w:hAnsiTheme="minorHAnsi" w:cstheme="minorHAnsi"/>
          <w:sz w:val="22"/>
        </w:rPr>
        <w:t>quality of Registered Training Organisations;</w:t>
      </w:r>
    </w:p>
    <w:p w:rsidR="009B0456" w:rsidRPr="00BB5D86" w:rsidRDefault="009B0456" w:rsidP="009B0456">
      <w:pPr>
        <w:pStyle w:val="ListParagraph"/>
        <w:numPr>
          <w:ilvl w:val="0"/>
          <w:numId w:val="31"/>
        </w:numPr>
        <w:rPr>
          <w:rFonts w:asciiTheme="minorHAnsi" w:hAnsiTheme="minorHAnsi" w:cstheme="minorHAnsi"/>
          <w:sz w:val="22"/>
        </w:rPr>
      </w:pPr>
      <w:r w:rsidRPr="00BB5D86">
        <w:rPr>
          <w:rFonts w:asciiTheme="minorHAnsi" w:hAnsiTheme="minorHAnsi" w:cstheme="minorHAnsi"/>
          <w:sz w:val="22"/>
        </w:rPr>
        <w:t>improv</w:t>
      </w:r>
      <w:r>
        <w:rPr>
          <w:rFonts w:asciiTheme="minorHAnsi" w:hAnsiTheme="minorHAnsi" w:cstheme="minorHAnsi"/>
          <w:sz w:val="22"/>
        </w:rPr>
        <w:t>e job seeker</w:t>
      </w:r>
      <w:r w:rsidRPr="00BB5D86">
        <w:rPr>
          <w:rFonts w:asciiTheme="minorHAnsi" w:hAnsiTheme="minorHAnsi" w:cstheme="minorHAnsi"/>
          <w:sz w:val="22"/>
        </w:rPr>
        <w:t xml:space="preserve"> awareness of their ability to change service providers and increasing awareness of complaints mechanisms; </w:t>
      </w:r>
    </w:p>
    <w:p w:rsidR="009B0456" w:rsidRPr="00BB5D86" w:rsidRDefault="009B0456" w:rsidP="009B0456">
      <w:pPr>
        <w:pStyle w:val="ListParagraph"/>
        <w:numPr>
          <w:ilvl w:val="0"/>
          <w:numId w:val="31"/>
        </w:numPr>
        <w:rPr>
          <w:rFonts w:asciiTheme="minorHAnsi" w:hAnsiTheme="minorHAnsi" w:cstheme="minorHAnsi"/>
          <w:sz w:val="22"/>
        </w:rPr>
      </w:pPr>
      <w:r w:rsidRPr="00BB5D86">
        <w:rPr>
          <w:rFonts w:asciiTheme="minorHAnsi" w:hAnsiTheme="minorHAnsi" w:cstheme="minorHAnsi"/>
          <w:sz w:val="22"/>
        </w:rPr>
        <w:t xml:space="preserve">better use of the internet and greater use of social media, including development of </w:t>
      </w:r>
      <w:r>
        <w:rPr>
          <w:rFonts w:asciiTheme="minorHAnsi" w:hAnsiTheme="minorHAnsi" w:cstheme="minorHAnsi"/>
          <w:sz w:val="22"/>
        </w:rPr>
        <w:t xml:space="preserve">a </w:t>
      </w:r>
      <w:r w:rsidRPr="00BB5D86">
        <w:rPr>
          <w:rFonts w:asciiTheme="minorHAnsi" w:hAnsiTheme="minorHAnsi" w:cstheme="minorHAnsi"/>
          <w:sz w:val="22"/>
        </w:rPr>
        <w:t>new “Job Assist” A</w:t>
      </w:r>
      <w:r>
        <w:rPr>
          <w:rFonts w:asciiTheme="minorHAnsi" w:hAnsiTheme="minorHAnsi" w:cstheme="minorHAnsi"/>
          <w:sz w:val="22"/>
        </w:rPr>
        <w:t>pp</w:t>
      </w:r>
      <w:r w:rsidRPr="00BB5D86">
        <w:rPr>
          <w:rFonts w:asciiTheme="minorHAnsi" w:hAnsiTheme="minorHAnsi" w:cstheme="minorHAnsi"/>
          <w:sz w:val="22"/>
        </w:rPr>
        <w:t xml:space="preserve">, to support job seekers in their search for work; </w:t>
      </w:r>
      <w:r>
        <w:rPr>
          <w:rFonts w:asciiTheme="minorHAnsi" w:hAnsiTheme="minorHAnsi" w:cstheme="minorHAnsi"/>
          <w:sz w:val="22"/>
        </w:rPr>
        <w:t>and</w:t>
      </w:r>
    </w:p>
    <w:p w:rsidR="009B0456" w:rsidRPr="00BB5D86" w:rsidRDefault="009B0456" w:rsidP="009B0456">
      <w:pPr>
        <w:pStyle w:val="ListParagraph"/>
        <w:numPr>
          <w:ilvl w:val="0"/>
          <w:numId w:val="31"/>
        </w:numPr>
        <w:rPr>
          <w:rFonts w:asciiTheme="minorHAnsi" w:hAnsiTheme="minorHAnsi" w:cstheme="minorHAnsi"/>
          <w:sz w:val="22"/>
        </w:rPr>
      </w:pPr>
      <w:r w:rsidRPr="00BB5D86">
        <w:rPr>
          <w:rFonts w:asciiTheme="minorHAnsi" w:hAnsiTheme="minorHAnsi" w:cstheme="minorHAnsi"/>
          <w:sz w:val="22"/>
        </w:rPr>
        <w:t>expanding</w:t>
      </w:r>
      <w:r w:rsidR="009111EB">
        <w:rPr>
          <w:rFonts w:asciiTheme="minorHAnsi" w:hAnsiTheme="minorHAnsi" w:cstheme="minorHAnsi"/>
          <w:sz w:val="22"/>
        </w:rPr>
        <w:t xml:space="preserve"> </w:t>
      </w:r>
      <w:r w:rsidRPr="00BB5D86">
        <w:rPr>
          <w:rFonts w:asciiTheme="minorHAnsi" w:hAnsiTheme="minorHAnsi" w:cstheme="minorHAnsi"/>
          <w:sz w:val="22"/>
        </w:rPr>
        <w:t xml:space="preserve">‘wrap-around’ services for vulnerable, disadvantaged and’ hard to reach’ job seekers through the national rollout of successful  programs like Local Connections To Work. </w:t>
      </w:r>
    </w:p>
    <w:p w:rsidR="009B0456" w:rsidRDefault="009B0456" w:rsidP="004454B7">
      <w:pPr>
        <w:rPr>
          <w:rFonts w:asciiTheme="minorHAnsi" w:hAnsiTheme="minorHAnsi" w:cstheme="minorHAnsi"/>
          <w:sz w:val="22"/>
        </w:rPr>
      </w:pPr>
    </w:p>
    <w:p w:rsidR="004454B7" w:rsidRPr="00BB5D86" w:rsidRDefault="004454B7" w:rsidP="004454B7">
      <w:pPr>
        <w:rPr>
          <w:rFonts w:asciiTheme="minorHAnsi" w:hAnsiTheme="minorHAnsi" w:cstheme="minorHAnsi"/>
          <w:sz w:val="22"/>
        </w:rPr>
      </w:pPr>
      <w:r w:rsidRPr="00BB5D86">
        <w:rPr>
          <w:rFonts w:asciiTheme="minorHAnsi" w:hAnsiTheme="minorHAnsi" w:cstheme="minorHAnsi"/>
          <w:sz w:val="22"/>
        </w:rPr>
        <w:t>Indigenous Australians are over-represented in the imposition of penalties under social security legislation with 22% of all eight week non-payment periods for those in receipt of income support being imposed on Indigenous Australians.</w:t>
      </w:r>
      <w:r w:rsidR="00016E4B">
        <w:rPr>
          <w:rStyle w:val="FootnoteReference"/>
          <w:rFonts w:asciiTheme="minorHAnsi" w:hAnsiTheme="minorHAnsi" w:cstheme="minorHAnsi"/>
          <w:sz w:val="22"/>
        </w:rPr>
        <w:footnoteReference w:id="21"/>
      </w:r>
      <w:r w:rsidRPr="00BB5D86">
        <w:rPr>
          <w:rFonts w:asciiTheme="minorHAnsi" w:hAnsiTheme="minorHAnsi" w:cstheme="minorHAnsi"/>
          <w:sz w:val="22"/>
        </w:rPr>
        <w:t xml:space="preserve"> Furthermore, 25% of all job seeker penalties are imposed on Indigenous Australians who comprise</w:t>
      </w:r>
      <w:r w:rsidR="00497928">
        <w:rPr>
          <w:rFonts w:asciiTheme="minorHAnsi" w:hAnsiTheme="minorHAnsi" w:cstheme="minorHAnsi"/>
          <w:sz w:val="22"/>
        </w:rPr>
        <w:t xml:space="preserve"> just</w:t>
      </w:r>
      <w:r w:rsidRPr="00BB5D86">
        <w:rPr>
          <w:rFonts w:asciiTheme="minorHAnsi" w:hAnsiTheme="minorHAnsi" w:cstheme="minorHAnsi"/>
          <w:sz w:val="22"/>
        </w:rPr>
        <w:t xml:space="preserve"> 10% of all unemployed people nationally. </w:t>
      </w:r>
    </w:p>
    <w:p w:rsidR="004454B7" w:rsidRPr="00BB5D86" w:rsidRDefault="004454B7" w:rsidP="004454B7">
      <w:pPr>
        <w:rPr>
          <w:rFonts w:asciiTheme="minorHAnsi" w:hAnsiTheme="minorHAnsi" w:cstheme="minorHAnsi"/>
          <w:sz w:val="22"/>
        </w:rPr>
      </w:pPr>
    </w:p>
    <w:p w:rsidR="004454B7" w:rsidRPr="00BB5D86" w:rsidRDefault="004454B7" w:rsidP="004454B7">
      <w:pPr>
        <w:rPr>
          <w:rFonts w:asciiTheme="minorHAnsi" w:hAnsiTheme="minorHAnsi" w:cstheme="minorHAnsi"/>
          <w:sz w:val="22"/>
        </w:rPr>
      </w:pPr>
      <w:r w:rsidRPr="00BB5D86">
        <w:rPr>
          <w:rFonts w:asciiTheme="minorHAnsi" w:hAnsiTheme="minorHAnsi" w:cstheme="minorHAnsi"/>
          <w:sz w:val="22"/>
        </w:rPr>
        <w:t>It is critical that a national solution be found to what are seemingly intractable problems. This means a focus on community-led identification and solutions, building community resilience and cultural competency.</w:t>
      </w:r>
    </w:p>
    <w:p w:rsidR="004454B7" w:rsidRPr="00BB5D86" w:rsidRDefault="004454B7" w:rsidP="004454B7">
      <w:pPr>
        <w:rPr>
          <w:rFonts w:asciiTheme="minorHAnsi" w:hAnsiTheme="minorHAnsi" w:cstheme="minorHAnsi"/>
          <w:sz w:val="22"/>
        </w:rPr>
      </w:pPr>
    </w:p>
    <w:p w:rsidR="004454B7" w:rsidRPr="00412655" w:rsidRDefault="00412655" w:rsidP="0041265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eastAsia="en-AU"/>
        </w:rPr>
      </w:pPr>
      <w:r w:rsidRPr="000966B1">
        <w:rPr>
          <w:rFonts w:asciiTheme="minorHAnsi" w:hAnsiTheme="minorHAnsi" w:cstheme="minorHAnsi"/>
          <w:b/>
          <w:sz w:val="22"/>
          <w:szCs w:val="22"/>
          <w:lang w:eastAsia="en-AU"/>
        </w:rPr>
        <w:t>Recommendation</w:t>
      </w:r>
      <w:r w:rsidR="000966B1" w:rsidRPr="000966B1">
        <w:rPr>
          <w:rFonts w:asciiTheme="minorHAnsi" w:hAnsiTheme="minorHAnsi" w:cstheme="minorHAnsi"/>
          <w:b/>
          <w:sz w:val="22"/>
          <w:szCs w:val="22"/>
          <w:lang w:eastAsia="en-AU"/>
        </w:rPr>
        <w:t xml:space="preserve"> #9</w:t>
      </w:r>
      <w:r w:rsidRPr="000966B1">
        <w:rPr>
          <w:rFonts w:asciiTheme="minorHAnsi" w:hAnsiTheme="minorHAnsi" w:cstheme="minorHAnsi"/>
          <w:b/>
          <w:sz w:val="22"/>
          <w:szCs w:val="22"/>
          <w:lang w:eastAsia="en-AU"/>
        </w:rPr>
        <w:t>:</w:t>
      </w:r>
      <w:r w:rsidRPr="00412655">
        <w:rPr>
          <w:rFonts w:asciiTheme="minorHAnsi" w:hAnsiTheme="minorHAnsi" w:cstheme="minorHAnsi"/>
          <w:sz w:val="22"/>
          <w:szCs w:val="22"/>
          <w:lang w:eastAsia="en-AU"/>
        </w:rPr>
        <w:t xml:space="preserve"> </w:t>
      </w:r>
      <w:r w:rsidR="009B0456">
        <w:rPr>
          <w:rFonts w:asciiTheme="minorHAnsi" w:hAnsiTheme="minorHAnsi" w:cstheme="minorHAnsi"/>
          <w:sz w:val="22"/>
          <w:szCs w:val="22"/>
          <w:lang w:eastAsia="en-AU"/>
        </w:rPr>
        <w:t>T</w:t>
      </w:r>
      <w:r w:rsidRPr="00412655">
        <w:rPr>
          <w:rFonts w:asciiTheme="minorHAnsi" w:hAnsiTheme="minorHAnsi" w:cstheme="minorHAnsi"/>
          <w:sz w:val="22"/>
          <w:szCs w:val="22"/>
          <w:lang w:eastAsia="en-AU"/>
        </w:rPr>
        <w:t xml:space="preserve">hat </w:t>
      </w:r>
      <w:r w:rsidR="009B0456">
        <w:rPr>
          <w:rFonts w:asciiTheme="minorHAnsi" w:hAnsiTheme="minorHAnsi" w:cstheme="minorHAnsi"/>
          <w:sz w:val="22"/>
          <w:szCs w:val="22"/>
          <w:lang w:eastAsia="en-AU"/>
        </w:rPr>
        <w:t>supports for Indigenous</w:t>
      </w:r>
      <w:r w:rsidRPr="00412655">
        <w:rPr>
          <w:rFonts w:asciiTheme="minorHAnsi" w:hAnsiTheme="minorHAnsi" w:cstheme="minorHAnsi"/>
          <w:sz w:val="22"/>
          <w:szCs w:val="22"/>
          <w:lang w:eastAsia="en-AU"/>
        </w:rPr>
        <w:t xml:space="preserve"> employment and training be </w:t>
      </w:r>
      <w:r w:rsidR="009B0456">
        <w:rPr>
          <w:rFonts w:asciiTheme="minorHAnsi" w:hAnsiTheme="minorHAnsi" w:cstheme="minorHAnsi"/>
          <w:sz w:val="22"/>
          <w:szCs w:val="22"/>
          <w:lang w:eastAsia="en-AU"/>
        </w:rPr>
        <w:t>improved.</w:t>
      </w:r>
    </w:p>
    <w:p w:rsidR="004454B7" w:rsidRDefault="004454B7" w:rsidP="004454B7">
      <w:pPr>
        <w:rPr>
          <w:rFonts w:asciiTheme="minorHAnsi" w:hAnsiTheme="minorHAnsi" w:cstheme="minorHAnsi"/>
          <w:b/>
          <w:sz w:val="22"/>
        </w:rPr>
      </w:pPr>
    </w:p>
    <w:p w:rsidR="00562C6E" w:rsidRPr="00FE420F" w:rsidRDefault="004A4AEE" w:rsidP="00012394">
      <w:pPr>
        <w:pStyle w:val="Heading3"/>
        <w:rPr>
          <w:sz w:val="24"/>
          <w:szCs w:val="24"/>
        </w:rPr>
      </w:pPr>
      <w:bookmarkStart w:id="12" w:name="_Toc379199688"/>
      <w:r w:rsidRPr="00FE420F">
        <w:rPr>
          <w:sz w:val="24"/>
          <w:szCs w:val="24"/>
        </w:rPr>
        <w:t>Improve</w:t>
      </w:r>
      <w:r w:rsidR="00D83278" w:rsidRPr="00FE420F">
        <w:rPr>
          <w:sz w:val="24"/>
          <w:szCs w:val="24"/>
        </w:rPr>
        <w:t xml:space="preserve"> Centrelink services</w:t>
      </w:r>
      <w:bookmarkEnd w:id="12"/>
      <w:r w:rsidR="00D83278" w:rsidRPr="00FE420F">
        <w:rPr>
          <w:sz w:val="24"/>
          <w:szCs w:val="24"/>
        </w:rPr>
        <w:t xml:space="preserve"> </w:t>
      </w:r>
    </w:p>
    <w:p w:rsidR="00562C6E" w:rsidRPr="00BB5D86" w:rsidRDefault="00562C6E" w:rsidP="00473914">
      <w:pPr>
        <w:jc w:val="both"/>
        <w:rPr>
          <w:rFonts w:asciiTheme="minorHAnsi" w:hAnsiTheme="minorHAnsi" w:cstheme="minorHAnsi"/>
          <w:b/>
          <w:color w:val="17365D" w:themeColor="text2" w:themeShade="BF"/>
          <w:sz w:val="22"/>
          <w:lang w:eastAsia="en-AU"/>
        </w:rPr>
      </w:pPr>
    </w:p>
    <w:p w:rsidR="00E411A0" w:rsidRDefault="00497928" w:rsidP="008D03BB">
      <w:pPr>
        <w:rPr>
          <w:rFonts w:asciiTheme="minorHAnsi" w:hAnsiTheme="minorHAnsi" w:cstheme="minorHAnsi"/>
          <w:sz w:val="22"/>
        </w:rPr>
      </w:pPr>
      <w:r>
        <w:rPr>
          <w:rFonts w:asciiTheme="minorHAnsi" w:hAnsiTheme="minorHAnsi" w:cstheme="minorHAnsi"/>
          <w:sz w:val="22"/>
        </w:rPr>
        <w:t xml:space="preserve">Over 7 million </w:t>
      </w:r>
      <w:r w:rsidR="000A7C52">
        <w:rPr>
          <w:rFonts w:asciiTheme="minorHAnsi" w:hAnsiTheme="minorHAnsi" w:cstheme="minorHAnsi"/>
          <w:sz w:val="22"/>
        </w:rPr>
        <w:t xml:space="preserve">people receive some type of social security or family assistance payment via Centrelink.  </w:t>
      </w:r>
      <w:r>
        <w:rPr>
          <w:rFonts w:asciiTheme="minorHAnsi" w:hAnsiTheme="minorHAnsi" w:cstheme="minorHAnsi"/>
          <w:sz w:val="22"/>
        </w:rPr>
        <w:t xml:space="preserve">Therefore, </w:t>
      </w:r>
      <w:r w:rsidR="000A7C52">
        <w:rPr>
          <w:rFonts w:asciiTheme="minorHAnsi" w:hAnsiTheme="minorHAnsi" w:cstheme="minorHAnsi"/>
          <w:sz w:val="22"/>
        </w:rPr>
        <w:t>i</w:t>
      </w:r>
      <w:r w:rsidR="00033FAE">
        <w:rPr>
          <w:rFonts w:asciiTheme="minorHAnsi" w:hAnsiTheme="minorHAnsi" w:cstheme="minorHAnsi"/>
          <w:sz w:val="22"/>
        </w:rPr>
        <w:t>t is</w:t>
      </w:r>
      <w:r w:rsidR="00A540A4" w:rsidRPr="00BB5D86">
        <w:rPr>
          <w:rFonts w:asciiTheme="minorHAnsi" w:hAnsiTheme="minorHAnsi" w:cstheme="minorHAnsi"/>
          <w:sz w:val="22"/>
        </w:rPr>
        <w:t xml:space="preserve"> critical that the Government adequately funds and support</w:t>
      </w:r>
      <w:r w:rsidR="000A7C52">
        <w:rPr>
          <w:rFonts w:asciiTheme="minorHAnsi" w:hAnsiTheme="minorHAnsi" w:cstheme="minorHAnsi"/>
          <w:sz w:val="22"/>
        </w:rPr>
        <w:t>s</w:t>
      </w:r>
      <w:r w:rsidR="00A540A4" w:rsidRPr="00BB5D86">
        <w:rPr>
          <w:rFonts w:asciiTheme="minorHAnsi" w:hAnsiTheme="minorHAnsi" w:cstheme="minorHAnsi"/>
          <w:sz w:val="22"/>
        </w:rPr>
        <w:t xml:space="preserve"> Centrelink services</w:t>
      </w:r>
      <w:r w:rsidR="000A7C52">
        <w:rPr>
          <w:rFonts w:asciiTheme="minorHAnsi" w:hAnsiTheme="minorHAnsi" w:cstheme="minorHAnsi"/>
          <w:sz w:val="22"/>
        </w:rPr>
        <w:t xml:space="preserve"> of the highest quality</w:t>
      </w:r>
      <w:r w:rsidR="00A540A4" w:rsidRPr="00BB5D86">
        <w:rPr>
          <w:rFonts w:asciiTheme="minorHAnsi" w:hAnsiTheme="minorHAnsi" w:cstheme="minorHAnsi"/>
          <w:sz w:val="22"/>
        </w:rPr>
        <w:t xml:space="preserve"> in the 2014-15 Federal Budget.</w:t>
      </w:r>
      <w:r>
        <w:rPr>
          <w:rFonts w:asciiTheme="minorHAnsi" w:hAnsiTheme="minorHAnsi" w:cstheme="minorHAnsi"/>
          <w:sz w:val="22"/>
        </w:rPr>
        <w:t xml:space="preserve"> </w:t>
      </w:r>
    </w:p>
    <w:p w:rsidR="00E411A0" w:rsidRDefault="00E411A0" w:rsidP="008D03BB">
      <w:pPr>
        <w:rPr>
          <w:rFonts w:asciiTheme="minorHAnsi" w:hAnsiTheme="minorHAnsi" w:cstheme="minorHAnsi"/>
          <w:sz w:val="22"/>
        </w:rPr>
      </w:pPr>
    </w:p>
    <w:p w:rsidR="00D85C21" w:rsidRDefault="00497928" w:rsidP="008D03BB">
      <w:pPr>
        <w:rPr>
          <w:rFonts w:asciiTheme="minorHAnsi" w:hAnsiTheme="minorHAnsi" w:cstheme="minorHAnsi"/>
          <w:sz w:val="22"/>
        </w:rPr>
      </w:pPr>
      <w:r>
        <w:rPr>
          <w:rFonts w:asciiTheme="minorHAnsi" w:hAnsiTheme="minorHAnsi" w:cstheme="minorHAnsi"/>
          <w:sz w:val="22"/>
        </w:rPr>
        <w:t xml:space="preserve">Below, we </w:t>
      </w:r>
      <w:r w:rsidR="006A7AB7">
        <w:rPr>
          <w:rFonts w:asciiTheme="minorHAnsi" w:hAnsiTheme="minorHAnsi" w:cstheme="minorHAnsi"/>
          <w:sz w:val="22"/>
        </w:rPr>
        <w:t>provide a snapshot of</w:t>
      </w:r>
      <w:r>
        <w:rPr>
          <w:rFonts w:asciiTheme="minorHAnsi" w:hAnsiTheme="minorHAnsi" w:cstheme="minorHAnsi"/>
          <w:sz w:val="22"/>
        </w:rPr>
        <w:t xml:space="preserve"> how Centrelink is faring</w:t>
      </w:r>
      <w:r w:rsidR="006A7AB7">
        <w:rPr>
          <w:rFonts w:asciiTheme="minorHAnsi" w:hAnsiTheme="minorHAnsi" w:cstheme="minorHAnsi"/>
          <w:sz w:val="22"/>
        </w:rPr>
        <w:t xml:space="preserve"> and highlight what essential changes are necessary to improve services and supports</w:t>
      </w:r>
      <w:r w:rsidR="000E46E9">
        <w:rPr>
          <w:rFonts w:asciiTheme="minorHAnsi" w:hAnsiTheme="minorHAnsi" w:cstheme="minorHAnsi"/>
          <w:sz w:val="22"/>
        </w:rPr>
        <w:t>:</w:t>
      </w:r>
    </w:p>
    <w:p w:rsidR="00A540A4" w:rsidRPr="00BB5D86" w:rsidRDefault="00A540A4" w:rsidP="008D03BB">
      <w:pPr>
        <w:rPr>
          <w:rFonts w:asciiTheme="minorHAnsi" w:hAnsiTheme="minorHAnsi" w:cstheme="minorHAnsi"/>
          <w:sz w:val="22"/>
        </w:rPr>
      </w:pPr>
      <w:r w:rsidRPr="00BB5D86">
        <w:rPr>
          <w:rFonts w:asciiTheme="minorHAnsi" w:hAnsiTheme="minorHAnsi" w:cstheme="minorHAnsi"/>
          <w:sz w:val="22"/>
        </w:rPr>
        <w:t xml:space="preserve"> </w:t>
      </w:r>
    </w:p>
    <w:p w:rsidR="000E46E9" w:rsidRDefault="008D03BB" w:rsidP="000E46E9">
      <w:pPr>
        <w:pStyle w:val="strongindent"/>
        <w:numPr>
          <w:ilvl w:val="0"/>
          <w:numId w:val="36"/>
        </w:numPr>
        <w:rPr>
          <w:sz w:val="22"/>
          <w:szCs w:val="22"/>
        </w:rPr>
      </w:pPr>
      <w:r w:rsidRPr="000E46E9">
        <w:rPr>
          <w:rFonts w:cstheme="minorHAnsi"/>
          <w:sz w:val="22"/>
        </w:rPr>
        <w:t>In 2012-13, there were 146,659 reviews of Centrelink decisions by</w:t>
      </w:r>
      <w:r w:rsidR="006A7AB7" w:rsidRPr="000E46E9">
        <w:rPr>
          <w:rFonts w:cstheme="minorHAnsi"/>
          <w:sz w:val="22"/>
        </w:rPr>
        <w:t xml:space="preserve"> both</w:t>
      </w:r>
      <w:r w:rsidRPr="000E46E9">
        <w:rPr>
          <w:rFonts w:cstheme="minorHAnsi"/>
          <w:sz w:val="22"/>
        </w:rPr>
        <w:t xml:space="preserve"> internal </w:t>
      </w:r>
      <w:r w:rsidR="006A7AB7" w:rsidRPr="000E46E9">
        <w:rPr>
          <w:rFonts w:cstheme="minorHAnsi"/>
          <w:sz w:val="22"/>
        </w:rPr>
        <w:t xml:space="preserve">mechanisms </w:t>
      </w:r>
      <w:r w:rsidRPr="000E46E9">
        <w:rPr>
          <w:rFonts w:cstheme="minorHAnsi"/>
          <w:sz w:val="22"/>
        </w:rPr>
        <w:t xml:space="preserve">and external </w:t>
      </w:r>
      <w:r w:rsidR="006A7AB7" w:rsidRPr="000E46E9">
        <w:rPr>
          <w:rFonts w:cstheme="minorHAnsi"/>
          <w:sz w:val="22"/>
        </w:rPr>
        <w:t>tribunals</w:t>
      </w:r>
      <w:r w:rsidRPr="000E46E9">
        <w:rPr>
          <w:rFonts w:cstheme="minorHAnsi"/>
          <w:sz w:val="22"/>
        </w:rPr>
        <w:t xml:space="preserve">. </w:t>
      </w:r>
      <w:r w:rsidR="000E46E9" w:rsidRPr="000E46E9">
        <w:rPr>
          <w:rFonts w:cstheme="minorHAnsi"/>
          <w:sz w:val="22"/>
        </w:rPr>
        <w:t xml:space="preserve"> </w:t>
      </w:r>
      <w:r w:rsidR="000E46E9" w:rsidRPr="000E46E9">
        <w:rPr>
          <w:rFonts w:cstheme="minorHAnsi"/>
          <w:sz w:val="22"/>
          <w:szCs w:val="22"/>
        </w:rPr>
        <w:t>There were 123,526 internal reviews undertaken by Centrelink in 2012-13 resulting in 36.1% of decisions being overtu</w:t>
      </w:r>
      <w:r w:rsidR="000E46E9" w:rsidRPr="00F93C12">
        <w:rPr>
          <w:rFonts w:cstheme="minorHAnsi"/>
          <w:sz w:val="22"/>
          <w:szCs w:val="22"/>
        </w:rPr>
        <w:t>rned, up from 32.7% in 201</w:t>
      </w:r>
      <w:r w:rsidR="000E46E9" w:rsidRPr="000E46E9">
        <w:rPr>
          <w:rFonts w:cstheme="minorHAnsi"/>
          <w:sz w:val="22"/>
          <w:szCs w:val="22"/>
        </w:rPr>
        <w:t>1-12.</w:t>
      </w:r>
      <w:r w:rsidR="000E46E9" w:rsidRPr="00FB139C">
        <w:rPr>
          <w:rStyle w:val="FootnoteReference"/>
          <w:rFonts w:cstheme="minorHAnsi"/>
          <w:sz w:val="22"/>
          <w:szCs w:val="22"/>
        </w:rPr>
        <w:footnoteReference w:id="22"/>
      </w:r>
      <w:r w:rsidR="000E46E9" w:rsidRPr="000E46E9">
        <w:rPr>
          <w:sz w:val="22"/>
          <w:szCs w:val="22"/>
        </w:rPr>
        <w:t xml:space="preserve"> </w:t>
      </w:r>
    </w:p>
    <w:p w:rsidR="000E46E9" w:rsidRPr="00C32626" w:rsidRDefault="000E46E9" w:rsidP="000E46E9">
      <w:pPr>
        <w:pStyle w:val="strongindent"/>
        <w:numPr>
          <w:ilvl w:val="0"/>
          <w:numId w:val="36"/>
        </w:numPr>
        <w:rPr>
          <w:sz w:val="22"/>
          <w:szCs w:val="22"/>
        </w:rPr>
      </w:pPr>
      <w:r w:rsidRPr="00C32626">
        <w:rPr>
          <w:sz w:val="22"/>
          <w:szCs w:val="22"/>
        </w:rPr>
        <w:t xml:space="preserve">There is currently a </w:t>
      </w:r>
      <w:r w:rsidRPr="00C32626">
        <w:rPr>
          <w:rFonts w:cstheme="minorHAnsi"/>
          <w:sz w:val="22"/>
          <w:szCs w:val="22"/>
        </w:rPr>
        <w:t xml:space="preserve">backlog of many thousands appeals, with people waiting up to six months or more for their appeal to be progressed. </w:t>
      </w:r>
    </w:p>
    <w:p w:rsidR="000E46E9" w:rsidRPr="000E46E9" w:rsidRDefault="000E46E9" w:rsidP="000E46E9">
      <w:pPr>
        <w:pStyle w:val="strongindent"/>
        <w:numPr>
          <w:ilvl w:val="0"/>
          <w:numId w:val="36"/>
        </w:numPr>
        <w:rPr>
          <w:sz w:val="22"/>
          <w:szCs w:val="22"/>
        </w:rPr>
      </w:pPr>
      <w:r>
        <w:rPr>
          <w:rFonts w:cstheme="minorHAnsi"/>
          <w:sz w:val="22"/>
          <w:szCs w:val="22"/>
        </w:rPr>
        <w:t xml:space="preserve">Centrelink decisions can adversely affect people’s lives in the short and long term. </w:t>
      </w:r>
      <w:r w:rsidRPr="000E46E9">
        <w:rPr>
          <w:rFonts w:cstheme="minorHAnsi"/>
          <w:sz w:val="22"/>
          <w:szCs w:val="22"/>
        </w:rPr>
        <w:t xml:space="preserve">It is </w:t>
      </w:r>
      <w:r>
        <w:rPr>
          <w:rFonts w:cstheme="minorHAnsi"/>
          <w:sz w:val="22"/>
          <w:szCs w:val="22"/>
        </w:rPr>
        <w:t xml:space="preserve">therefore </w:t>
      </w:r>
      <w:r w:rsidRPr="000E46E9">
        <w:rPr>
          <w:rFonts w:cstheme="minorHAnsi"/>
          <w:sz w:val="22"/>
          <w:szCs w:val="22"/>
        </w:rPr>
        <w:t xml:space="preserve">important that people have access to a fair and impartial review system in Centrelink, and that an independent system separate from Centrelink is available when things go wrong. </w:t>
      </w:r>
      <w:r>
        <w:rPr>
          <w:rFonts w:cstheme="minorHAnsi"/>
          <w:sz w:val="22"/>
          <w:szCs w:val="22"/>
        </w:rPr>
        <w:t xml:space="preserve">  It is also important that review decisions are undertaken in a timely and procedurally fair manner.  </w:t>
      </w:r>
    </w:p>
    <w:p w:rsidR="00E411A0" w:rsidRPr="003075EF" w:rsidRDefault="00E411A0" w:rsidP="00FE420F">
      <w:pPr>
        <w:pStyle w:val="ListParagraph"/>
        <w:rPr>
          <w:rFonts w:asciiTheme="minorHAnsi" w:hAnsiTheme="minorHAnsi" w:cstheme="minorHAnsi"/>
          <w:sz w:val="22"/>
        </w:rPr>
      </w:pPr>
    </w:p>
    <w:p w:rsidR="008D03BB" w:rsidRPr="003075EF" w:rsidRDefault="008D03BB" w:rsidP="003075EF">
      <w:pPr>
        <w:pStyle w:val="ListParagraph"/>
        <w:numPr>
          <w:ilvl w:val="0"/>
          <w:numId w:val="36"/>
        </w:numPr>
        <w:rPr>
          <w:rFonts w:asciiTheme="minorHAnsi" w:hAnsiTheme="minorHAnsi" w:cstheme="minorHAnsi"/>
          <w:sz w:val="22"/>
        </w:rPr>
      </w:pPr>
      <w:r w:rsidRPr="003075EF">
        <w:rPr>
          <w:rFonts w:asciiTheme="minorHAnsi" w:hAnsiTheme="minorHAnsi" w:cstheme="minorHAnsi"/>
          <w:sz w:val="22"/>
        </w:rPr>
        <w:t>Over 2.2 million people received an overpayment, complaints increased to the Commonwealth Ombudsman by 28%, and customer ratings of satisfaction fell by 13% on the previous year, to just 72</w:t>
      </w:r>
      <w:r w:rsidRPr="003075EF">
        <w:rPr>
          <w:rFonts w:asciiTheme="minorHAnsi" w:hAnsiTheme="minorHAnsi" w:cstheme="minorHAnsi"/>
          <w:b/>
          <w:sz w:val="22"/>
        </w:rPr>
        <w:t>%.</w:t>
      </w:r>
      <w:r w:rsidR="00D85C21" w:rsidRPr="003075EF">
        <w:rPr>
          <w:rFonts w:asciiTheme="minorHAnsi" w:hAnsiTheme="minorHAnsi" w:cstheme="minorHAnsi"/>
          <w:b/>
          <w:sz w:val="22"/>
          <w:szCs w:val="22"/>
        </w:rPr>
        <w:t xml:space="preserve"> </w:t>
      </w:r>
    </w:p>
    <w:p w:rsidR="00D85C21" w:rsidRDefault="001661DC" w:rsidP="003075EF">
      <w:pPr>
        <w:pStyle w:val="strongindent"/>
        <w:numPr>
          <w:ilvl w:val="0"/>
          <w:numId w:val="36"/>
        </w:numPr>
        <w:rPr>
          <w:sz w:val="22"/>
          <w:szCs w:val="22"/>
        </w:rPr>
      </w:pPr>
      <w:r w:rsidRPr="00BB5D86">
        <w:rPr>
          <w:rFonts w:cstheme="minorHAnsi"/>
          <w:sz w:val="22"/>
        </w:rPr>
        <w:t xml:space="preserve">Many of the Centrelink complaints related to staff shortages and lengthy waiting times for service, decision-making and review of decisions.  </w:t>
      </w:r>
    </w:p>
    <w:p w:rsidR="000E46E9" w:rsidRDefault="001661DC" w:rsidP="00FE420F">
      <w:pPr>
        <w:pStyle w:val="strongindent"/>
        <w:numPr>
          <w:ilvl w:val="0"/>
          <w:numId w:val="36"/>
        </w:numPr>
        <w:rPr>
          <w:rFonts w:cstheme="minorHAnsi"/>
          <w:color w:val="auto"/>
          <w:sz w:val="22"/>
          <w:szCs w:val="22"/>
          <w:lang w:val="en-US" w:eastAsia="en-AU"/>
        </w:rPr>
      </w:pPr>
      <w:r w:rsidRPr="000E46E9">
        <w:rPr>
          <w:rFonts w:cstheme="minorHAnsi"/>
          <w:sz w:val="22"/>
          <w:szCs w:val="22"/>
          <w:lang w:eastAsia="en-AU"/>
        </w:rPr>
        <w:t>Last year there were 46,243 complaints to Centr</w:t>
      </w:r>
      <w:r w:rsidR="00331423" w:rsidRPr="000E46E9">
        <w:rPr>
          <w:rFonts w:cstheme="minorHAnsi"/>
          <w:sz w:val="22"/>
          <w:szCs w:val="22"/>
          <w:lang w:eastAsia="en-AU"/>
        </w:rPr>
        <w:t xml:space="preserve">elink’s internal feedback line. </w:t>
      </w:r>
      <w:r w:rsidRPr="000E46E9">
        <w:rPr>
          <w:rFonts w:cstheme="minorHAnsi"/>
          <w:sz w:val="22"/>
          <w:szCs w:val="22"/>
          <w:lang w:eastAsia="en-AU"/>
        </w:rPr>
        <w:t xml:space="preserve">In 2012-13 the top </w:t>
      </w:r>
      <w:r w:rsidR="00331423" w:rsidRPr="000E46E9">
        <w:rPr>
          <w:rFonts w:cstheme="minorHAnsi"/>
          <w:sz w:val="22"/>
          <w:szCs w:val="22"/>
          <w:lang w:eastAsia="en-AU"/>
        </w:rPr>
        <w:t xml:space="preserve">complaint was access to a call centre (23%). </w:t>
      </w:r>
      <w:r w:rsidR="00033FAE" w:rsidRPr="000E46E9">
        <w:rPr>
          <w:rFonts w:cstheme="minorHAnsi"/>
          <w:sz w:val="22"/>
          <w:szCs w:val="22"/>
          <w:lang w:eastAsia="en-AU"/>
        </w:rPr>
        <w:t xml:space="preserve"> </w:t>
      </w:r>
    </w:p>
    <w:p w:rsidR="00D85C21" w:rsidRPr="003075EF" w:rsidRDefault="00A540A4" w:rsidP="00FE420F">
      <w:pPr>
        <w:pStyle w:val="strongindent"/>
        <w:numPr>
          <w:ilvl w:val="0"/>
          <w:numId w:val="36"/>
        </w:numPr>
        <w:rPr>
          <w:rFonts w:cstheme="minorHAnsi"/>
          <w:color w:val="auto"/>
          <w:sz w:val="22"/>
          <w:szCs w:val="22"/>
          <w:lang w:val="en-US" w:eastAsia="en-AU"/>
        </w:rPr>
      </w:pPr>
      <w:r w:rsidRPr="003075EF">
        <w:rPr>
          <w:rFonts w:cstheme="minorHAnsi"/>
          <w:color w:val="auto"/>
          <w:sz w:val="22"/>
          <w:szCs w:val="22"/>
          <w:lang w:val="en-US" w:eastAsia="en-AU"/>
        </w:rPr>
        <w:t>Many people, including many older</w:t>
      </w:r>
      <w:r w:rsidR="000E46E9">
        <w:rPr>
          <w:rFonts w:cstheme="minorHAnsi"/>
          <w:color w:val="auto"/>
          <w:sz w:val="22"/>
          <w:szCs w:val="22"/>
          <w:lang w:val="en-US" w:eastAsia="en-AU"/>
        </w:rPr>
        <w:t xml:space="preserve"> Australians</w:t>
      </w:r>
      <w:r w:rsidRPr="003075EF">
        <w:rPr>
          <w:rFonts w:cstheme="minorHAnsi"/>
          <w:color w:val="auto"/>
          <w:sz w:val="22"/>
          <w:szCs w:val="22"/>
          <w:lang w:val="en-US" w:eastAsia="en-AU"/>
        </w:rPr>
        <w:t xml:space="preserve"> have a </w:t>
      </w:r>
      <w:r w:rsidR="000E46E9">
        <w:rPr>
          <w:rFonts w:cstheme="minorHAnsi"/>
          <w:color w:val="auto"/>
          <w:sz w:val="22"/>
          <w:szCs w:val="22"/>
          <w:lang w:val="en-US" w:eastAsia="en-AU"/>
        </w:rPr>
        <w:t xml:space="preserve">legitimate </w:t>
      </w:r>
      <w:r w:rsidRPr="003075EF">
        <w:rPr>
          <w:rFonts w:cstheme="minorHAnsi"/>
          <w:color w:val="auto"/>
          <w:sz w:val="22"/>
          <w:szCs w:val="22"/>
          <w:lang w:val="en-US" w:eastAsia="en-AU"/>
        </w:rPr>
        <w:t>preference for face-to</w:t>
      </w:r>
      <w:r w:rsidR="001E636F" w:rsidRPr="003075EF">
        <w:rPr>
          <w:rFonts w:cstheme="minorHAnsi"/>
          <w:color w:val="auto"/>
          <w:sz w:val="22"/>
          <w:szCs w:val="22"/>
          <w:lang w:val="en-US" w:eastAsia="en-AU"/>
        </w:rPr>
        <w:t>-</w:t>
      </w:r>
      <w:r w:rsidRPr="003075EF">
        <w:rPr>
          <w:rFonts w:cstheme="minorHAnsi"/>
          <w:color w:val="auto"/>
          <w:sz w:val="22"/>
          <w:szCs w:val="22"/>
          <w:lang w:val="en-US" w:eastAsia="en-AU"/>
        </w:rPr>
        <w:t>face services at Centrelink</w:t>
      </w:r>
      <w:r w:rsidR="000E46E9">
        <w:rPr>
          <w:rFonts w:cstheme="minorHAnsi"/>
          <w:color w:val="auto"/>
          <w:sz w:val="22"/>
          <w:szCs w:val="22"/>
          <w:lang w:val="en-US" w:eastAsia="en-AU"/>
        </w:rPr>
        <w:t xml:space="preserve">. Furthermore, </w:t>
      </w:r>
      <w:r w:rsidRPr="003075EF">
        <w:rPr>
          <w:rFonts w:cstheme="minorHAnsi"/>
          <w:color w:val="auto"/>
          <w:sz w:val="22"/>
          <w:szCs w:val="22"/>
          <w:lang w:val="en-US" w:eastAsia="en-AU"/>
        </w:rPr>
        <w:t>cost issues may</w:t>
      </w:r>
      <w:r w:rsidR="00331423" w:rsidRPr="003075EF">
        <w:rPr>
          <w:rFonts w:cstheme="minorHAnsi"/>
          <w:color w:val="auto"/>
          <w:sz w:val="22"/>
          <w:szCs w:val="22"/>
          <w:lang w:val="en-US" w:eastAsia="en-AU"/>
        </w:rPr>
        <w:t xml:space="preserve"> be a barrier to using online </w:t>
      </w:r>
      <w:r w:rsidR="000E46E9">
        <w:rPr>
          <w:rFonts w:cstheme="minorHAnsi"/>
          <w:color w:val="auto"/>
          <w:sz w:val="22"/>
          <w:szCs w:val="22"/>
          <w:lang w:val="en-US" w:eastAsia="en-AU"/>
        </w:rPr>
        <w:t xml:space="preserve">and </w:t>
      </w:r>
      <w:r w:rsidRPr="003075EF">
        <w:rPr>
          <w:rFonts w:cstheme="minorHAnsi"/>
          <w:color w:val="auto"/>
          <w:sz w:val="22"/>
          <w:szCs w:val="22"/>
          <w:lang w:val="en-US" w:eastAsia="en-AU"/>
        </w:rPr>
        <w:t xml:space="preserve">self-service options. </w:t>
      </w:r>
    </w:p>
    <w:p w:rsidR="00D85C21" w:rsidRDefault="00D85C21" w:rsidP="001E636F">
      <w:pPr>
        <w:jc w:val="both"/>
        <w:rPr>
          <w:rFonts w:asciiTheme="minorHAnsi" w:hAnsiTheme="minorHAnsi" w:cstheme="minorHAnsi"/>
          <w:color w:val="auto"/>
          <w:sz w:val="22"/>
          <w:szCs w:val="22"/>
          <w:lang w:val="en-US" w:eastAsia="en-AU"/>
        </w:rPr>
      </w:pPr>
    </w:p>
    <w:p w:rsidR="00981D06" w:rsidRPr="00BB5D86" w:rsidRDefault="00EB78C4" w:rsidP="00A112D3">
      <w:pPr>
        <w:pBdr>
          <w:top w:val="single" w:sz="4" w:space="1" w:color="auto"/>
          <w:left w:val="single" w:sz="4" w:space="4" w:color="auto"/>
          <w:bottom w:val="single" w:sz="4" w:space="1" w:color="auto"/>
          <w:right w:val="single" w:sz="4" w:space="4" w:color="auto"/>
        </w:pBdr>
        <w:rPr>
          <w:rFonts w:asciiTheme="minorHAnsi" w:hAnsiTheme="minorHAnsi" w:cstheme="minorHAnsi"/>
          <w:b/>
          <w:sz w:val="22"/>
        </w:rPr>
      </w:pPr>
      <w:r w:rsidRPr="00BB5D86">
        <w:rPr>
          <w:rFonts w:asciiTheme="minorHAnsi" w:hAnsiTheme="minorHAnsi" w:cstheme="minorHAnsi"/>
          <w:b/>
          <w:sz w:val="22"/>
        </w:rPr>
        <w:t>Recommendation</w:t>
      </w:r>
      <w:r w:rsidR="000966B1">
        <w:rPr>
          <w:rFonts w:asciiTheme="minorHAnsi" w:hAnsiTheme="minorHAnsi" w:cstheme="minorHAnsi"/>
          <w:b/>
          <w:sz w:val="22"/>
        </w:rPr>
        <w:t xml:space="preserve"> #10</w:t>
      </w:r>
      <w:r w:rsidRPr="00BB5D86">
        <w:rPr>
          <w:rFonts w:asciiTheme="minorHAnsi" w:hAnsiTheme="minorHAnsi" w:cstheme="minorHAnsi"/>
          <w:b/>
          <w:sz w:val="22"/>
        </w:rPr>
        <w:t xml:space="preserve">: </w:t>
      </w:r>
      <w:r w:rsidR="000E46E9">
        <w:rPr>
          <w:rFonts w:asciiTheme="minorHAnsi" w:hAnsiTheme="minorHAnsi" w:cstheme="minorHAnsi"/>
          <w:b/>
          <w:sz w:val="22"/>
        </w:rPr>
        <w:t xml:space="preserve"> </w:t>
      </w:r>
      <w:r w:rsidR="001E636F">
        <w:rPr>
          <w:rFonts w:asciiTheme="minorHAnsi" w:hAnsiTheme="minorHAnsi" w:cstheme="minorHAnsi"/>
          <w:sz w:val="22"/>
        </w:rPr>
        <w:t>F</w:t>
      </w:r>
      <w:r w:rsidR="001E636F" w:rsidRPr="001E636F">
        <w:rPr>
          <w:rFonts w:asciiTheme="minorHAnsi" w:hAnsiTheme="minorHAnsi" w:cstheme="minorHAnsi"/>
          <w:sz w:val="22"/>
        </w:rPr>
        <w:t xml:space="preserve">unding to </w:t>
      </w:r>
      <w:r w:rsidR="00E411A0">
        <w:rPr>
          <w:rFonts w:asciiTheme="minorHAnsi" w:hAnsiTheme="minorHAnsi" w:cstheme="minorHAnsi"/>
          <w:sz w:val="22"/>
        </w:rPr>
        <w:t>Department of Human Services</w:t>
      </w:r>
      <w:r w:rsidR="00E411A0" w:rsidRPr="001E636F">
        <w:rPr>
          <w:rFonts w:asciiTheme="minorHAnsi" w:hAnsiTheme="minorHAnsi" w:cstheme="minorHAnsi"/>
          <w:sz w:val="22"/>
        </w:rPr>
        <w:t xml:space="preserve"> </w:t>
      </w:r>
      <w:r w:rsidR="001E636F" w:rsidRPr="001E636F">
        <w:rPr>
          <w:rFonts w:asciiTheme="minorHAnsi" w:hAnsiTheme="minorHAnsi" w:cstheme="minorHAnsi"/>
          <w:sz w:val="22"/>
        </w:rPr>
        <w:t>to administer Social Security payments should be increased, not decreased. More Authorised Review Officers are needed to deal with appeal backlogs, more resources are required to reduce telephone and face to face wait times</w:t>
      </w:r>
      <w:r w:rsidR="00E411A0">
        <w:rPr>
          <w:rFonts w:asciiTheme="minorHAnsi" w:hAnsiTheme="minorHAnsi" w:cstheme="minorHAnsi"/>
          <w:sz w:val="22"/>
        </w:rPr>
        <w:t>, and</w:t>
      </w:r>
      <w:r w:rsidR="001E636F" w:rsidRPr="001E636F">
        <w:rPr>
          <w:rFonts w:asciiTheme="minorHAnsi" w:hAnsiTheme="minorHAnsi" w:cstheme="minorHAnsi"/>
          <w:sz w:val="22"/>
        </w:rPr>
        <w:t xml:space="preserve"> staffing levels </w:t>
      </w:r>
      <w:r w:rsidR="001E636F">
        <w:rPr>
          <w:rFonts w:asciiTheme="minorHAnsi" w:hAnsiTheme="minorHAnsi" w:cstheme="minorHAnsi"/>
          <w:sz w:val="22"/>
        </w:rPr>
        <w:t xml:space="preserve">generally </w:t>
      </w:r>
      <w:r w:rsidR="001E636F" w:rsidRPr="001E636F">
        <w:rPr>
          <w:rFonts w:asciiTheme="minorHAnsi" w:hAnsiTheme="minorHAnsi" w:cstheme="minorHAnsi"/>
          <w:sz w:val="22"/>
        </w:rPr>
        <w:t>need to be increased, not decreased. The availability of face to face services for customers who struggle with online and telephone self-service options must be preserved.</w:t>
      </w:r>
    </w:p>
    <w:p w:rsidR="00D94BE6" w:rsidRDefault="00D94BE6">
      <w:pPr>
        <w:pStyle w:val="Heading3"/>
        <w:rPr>
          <w:sz w:val="24"/>
          <w:szCs w:val="24"/>
        </w:rPr>
      </w:pPr>
      <w:bookmarkStart w:id="13" w:name="_Toc379199689"/>
    </w:p>
    <w:p w:rsidR="00D94BE6" w:rsidRDefault="00D94BE6">
      <w:pPr>
        <w:pStyle w:val="Heading3"/>
        <w:rPr>
          <w:sz w:val="24"/>
          <w:szCs w:val="24"/>
        </w:rPr>
      </w:pPr>
    </w:p>
    <w:p w:rsidR="007603C5" w:rsidRPr="00FE420F" w:rsidRDefault="007603C5">
      <w:pPr>
        <w:pStyle w:val="Heading3"/>
        <w:rPr>
          <w:sz w:val="24"/>
          <w:szCs w:val="24"/>
        </w:rPr>
      </w:pPr>
      <w:r w:rsidRPr="00FE420F">
        <w:rPr>
          <w:sz w:val="24"/>
          <w:szCs w:val="24"/>
        </w:rPr>
        <w:t>Supporting disadvantaged children receiving Special Benefit</w:t>
      </w:r>
      <w:bookmarkEnd w:id="13"/>
    </w:p>
    <w:p w:rsidR="007603C5" w:rsidRDefault="007603C5" w:rsidP="003075EF">
      <w:pPr>
        <w:rPr>
          <w:rFonts w:asciiTheme="minorHAnsi" w:hAnsiTheme="minorHAnsi" w:cstheme="minorHAnsi"/>
          <w:sz w:val="22"/>
          <w:szCs w:val="22"/>
        </w:rPr>
      </w:pPr>
    </w:p>
    <w:p w:rsidR="00756044" w:rsidRPr="003075EF" w:rsidRDefault="007603C5" w:rsidP="003075EF">
      <w:pPr>
        <w:rPr>
          <w:rFonts w:asciiTheme="minorHAnsi" w:hAnsiTheme="minorHAnsi" w:cstheme="minorHAnsi"/>
          <w:sz w:val="22"/>
          <w:szCs w:val="22"/>
        </w:rPr>
      </w:pPr>
      <w:r w:rsidRPr="003075EF">
        <w:rPr>
          <w:rFonts w:asciiTheme="minorHAnsi" w:hAnsiTheme="minorHAnsi" w:cstheme="minorHAnsi"/>
          <w:sz w:val="22"/>
          <w:szCs w:val="22"/>
        </w:rPr>
        <w:t>NWRN proposes</w:t>
      </w:r>
      <w:r w:rsidR="000E46E9">
        <w:rPr>
          <w:rFonts w:asciiTheme="minorHAnsi" w:hAnsiTheme="minorHAnsi" w:cstheme="minorHAnsi"/>
          <w:sz w:val="22"/>
          <w:szCs w:val="22"/>
        </w:rPr>
        <w:t xml:space="preserve"> a</w:t>
      </w:r>
      <w:r w:rsidRPr="003075EF">
        <w:rPr>
          <w:rFonts w:asciiTheme="minorHAnsi" w:hAnsiTheme="minorHAnsi" w:cstheme="minorHAnsi"/>
          <w:sz w:val="22"/>
          <w:szCs w:val="22"/>
        </w:rPr>
        <w:t xml:space="preserve"> reform to r</w:t>
      </w:r>
      <w:r w:rsidR="00756044" w:rsidRPr="003075EF">
        <w:rPr>
          <w:rFonts w:asciiTheme="minorHAnsi" w:hAnsiTheme="minorHAnsi" w:cstheme="minorHAnsi"/>
          <w:sz w:val="22"/>
          <w:szCs w:val="22"/>
        </w:rPr>
        <w:t xml:space="preserve">emove hardship caused by </w:t>
      </w:r>
      <w:r>
        <w:rPr>
          <w:rFonts w:asciiTheme="minorHAnsi" w:hAnsiTheme="minorHAnsi" w:cstheme="minorHAnsi"/>
          <w:sz w:val="22"/>
          <w:szCs w:val="22"/>
        </w:rPr>
        <w:t>the</w:t>
      </w:r>
      <w:r w:rsidR="000E46E9">
        <w:rPr>
          <w:rFonts w:asciiTheme="minorHAnsi" w:hAnsiTheme="minorHAnsi" w:cstheme="minorHAnsi"/>
          <w:sz w:val="22"/>
          <w:szCs w:val="22"/>
        </w:rPr>
        <w:t xml:space="preserve"> legislative definition of “</w:t>
      </w:r>
      <w:r w:rsidRPr="000966B1">
        <w:rPr>
          <w:rFonts w:asciiTheme="minorHAnsi" w:eastAsiaTheme="minorHAnsi" w:hAnsiTheme="minorHAnsi" w:cstheme="minorHAnsi"/>
          <w:color w:val="auto"/>
          <w:sz w:val="22"/>
          <w:szCs w:val="22"/>
          <w:lang w:eastAsia="en-AU"/>
        </w:rPr>
        <w:t xml:space="preserve">Family Tax Benefit </w:t>
      </w:r>
      <w:r w:rsidR="00756044" w:rsidRPr="003075EF">
        <w:rPr>
          <w:rFonts w:asciiTheme="minorHAnsi" w:hAnsiTheme="minorHAnsi" w:cstheme="minorHAnsi"/>
          <w:sz w:val="22"/>
          <w:szCs w:val="22"/>
        </w:rPr>
        <w:t>Child</w:t>
      </w:r>
      <w:r w:rsidR="000E46E9">
        <w:rPr>
          <w:rFonts w:asciiTheme="minorHAnsi" w:hAnsiTheme="minorHAnsi" w:cstheme="minorHAnsi"/>
          <w:sz w:val="22"/>
          <w:szCs w:val="22"/>
        </w:rPr>
        <w:t>”.  This</w:t>
      </w:r>
      <w:r w:rsidR="00756044" w:rsidRPr="003075EF">
        <w:rPr>
          <w:rFonts w:asciiTheme="minorHAnsi" w:hAnsiTheme="minorHAnsi" w:cstheme="minorHAnsi"/>
          <w:sz w:val="22"/>
          <w:szCs w:val="22"/>
        </w:rPr>
        <w:t xml:space="preserve"> definition</w:t>
      </w:r>
      <w:r w:rsidR="000E46E9">
        <w:rPr>
          <w:rFonts w:asciiTheme="minorHAnsi" w:hAnsiTheme="minorHAnsi" w:cstheme="minorHAnsi"/>
          <w:sz w:val="22"/>
          <w:szCs w:val="22"/>
        </w:rPr>
        <w:t xml:space="preserve"> adversely affects</w:t>
      </w:r>
      <w:r w:rsidR="00756044" w:rsidRPr="003075EF">
        <w:rPr>
          <w:rFonts w:asciiTheme="minorHAnsi" w:hAnsiTheme="minorHAnsi" w:cstheme="minorHAnsi"/>
          <w:sz w:val="22"/>
          <w:szCs w:val="22"/>
        </w:rPr>
        <w:t xml:space="preserve"> a small number of extremely disadvantaged children receiving </w:t>
      </w:r>
      <w:r w:rsidR="00FB139C" w:rsidRPr="003075EF">
        <w:rPr>
          <w:rFonts w:asciiTheme="minorHAnsi" w:hAnsiTheme="minorHAnsi" w:cstheme="minorHAnsi"/>
          <w:sz w:val="22"/>
          <w:szCs w:val="22"/>
        </w:rPr>
        <w:t>S</w:t>
      </w:r>
      <w:r w:rsidR="00756044" w:rsidRPr="003075EF">
        <w:rPr>
          <w:rFonts w:asciiTheme="minorHAnsi" w:hAnsiTheme="minorHAnsi" w:cstheme="minorHAnsi"/>
          <w:sz w:val="22"/>
          <w:szCs w:val="22"/>
        </w:rPr>
        <w:t xml:space="preserve">pecial </w:t>
      </w:r>
      <w:r w:rsidR="00FB139C" w:rsidRPr="003075EF">
        <w:rPr>
          <w:rFonts w:asciiTheme="minorHAnsi" w:hAnsiTheme="minorHAnsi" w:cstheme="minorHAnsi"/>
          <w:sz w:val="22"/>
          <w:szCs w:val="22"/>
        </w:rPr>
        <w:t>B</w:t>
      </w:r>
      <w:r w:rsidR="00756044" w:rsidRPr="003075EF">
        <w:rPr>
          <w:rFonts w:asciiTheme="minorHAnsi" w:hAnsiTheme="minorHAnsi" w:cstheme="minorHAnsi"/>
          <w:sz w:val="22"/>
          <w:szCs w:val="22"/>
        </w:rPr>
        <w:t>enefit</w:t>
      </w:r>
      <w:r w:rsidR="000E46E9">
        <w:rPr>
          <w:rFonts w:asciiTheme="minorHAnsi" w:hAnsiTheme="minorHAnsi" w:cstheme="minorHAnsi"/>
          <w:sz w:val="22"/>
          <w:szCs w:val="22"/>
        </w:rPr>
        <w:t>.</w:t>
      </w:r>
    </w:p>
    <w:p w:rsidR="00FB139C" w:rsidRPr="00FB139C" w:rsidRDefault="00FB139C" w:rsidP="00FB139C">
      <w:pPr>
        <w:rPr>
          <w:lang w:eastAsia="en-AU"/>
        </w:rPr>
      </w:pPr>
    </w:p>
    <w:p w:rsidR="00B5136A" w:rsidRPr="000966B1" w:rsidRDefault="00756044" w:rsidP="00B5136A">
      <w:pPr>
        <w:spacing w:after="200" w:line="276" w:lineRule="auto"/>
        <w:rPr>
          <w:rFonts w:asciiTheme="minorHAnsi" w:eastAsiaTheme="minorHAnsi" w:hAnsiTheme="minorHAnsi" w:cstheme="minorHAnsi"/>
          <w:color w:val="auto"/>
          <w:sz w:val="22"/>
          <w:szCs w:val="22"/>
          <w:lang w:eastAsia="en-AU"/>
        </w:rPr>
      </w:pPr>
      <w:r w:rsidRPr="000966B1">
        <w:rPr>
          <w:rFonts w:asciiTheme="minorHAnsi" w:eastAsiaTheme="minorHAnsi" w:hAnsiTheme="minorHAnsi" w:cstheme="minorHAnsi"/>
          <w:color w:val="auto"/>
          <w:sz w:val="22"/>
          <w:szCs w:val="22"/>
          <w:lang w:eastAsia="en-AU"/>
        </w:rPr>
        <w:t xml:space="preserve">In </w:t>
      </w:r>
      <w:r w:rsidR="00B5136A" w:rsidRPr="000966B1">
        <w:rPr>
          <w:rFonts w:asciiTheme="minorHAnsi" w:eastAsiaTheme="minorHAnsi" w:hAnsiTheme="minorHAnsi" w:cstheme="minorHAnsi"/>
          <w:color w:val="auto"/>
          <w:sz w:val="22"/>
          <w:szCs w:val="22"/>
          <w:lang w:eastAsia="en-AU"/>
        </w:rPr>
        <w:t xml:space="preserve">a small number of cases, </w:t>
      </w:r>
      <w:r w:rsidRPr="000966B1">
        <w:rPr>
          <w:rFonts w:asciiTheme="minorHAnsi" w:eastAsiaTheme="minorHAnsi" w:hAnsiTheme="minorHAnsi" w:cstheme="minorHAnsi"/>
          <w:color w:val="auto"/>
          <w:sz w:val="22"/>
          <w:szCs w:val="22"/>
          <w:lang w:eastAsia="en-AU"/>
        </w:rPr>
        <w:t xml:space="preserve">a </w:t>
      </w:r>
      <w:r w:rsidR="00B5136A" w:rsidRPr="000966B1">
        <w:rPr>
          <w:rFonts w:asciiTheme="minorHAnsi" w:eastAsiaTheme="minorHAnsi" w:hAnsiTheme="minorHAnsi" w:cstheme="minorHAnsi"/>
          <w:color w:val="auto"/>
          <w:sz w:val="22"/>
          <w:szCs w:val="22"/>
          <w:lang w:eastAsia="en-AU"/>
        </w:rPr>
        <w:t xml:space="preserve">citizen </w:t>
      </w:r>
      <w:r w:rsidRPr="000966B1">
        <w:rPr>
          <w:rFonts w:asciiTheme="minorHAnsi" w:eastAsiaTheme="minorHAnsi" w:hAnsiTheme="minorHAnsi" w:cstheme="minorHAnsi"/>
          <w:color w:val="auto"/>
          <w:sz w:val="22"/>
          <w:szCs w:val="22"/>
          <w:lang w:eastAsia="en-AU"/>
        </w:rPr>
        <w:t xml:space="preserve">child </w:t>
      </w:r>
      <w:r w:rsidR="000966B1">
        <w:rPr>
          <w:rFonts w:asciiTheme="minorHAnsi" w:eastAsiaTheme="minorHAnsi" w:hAnsiTheme="minorHAnsi" w:cstheme="minorHAnsi"/>
          <w:color w:val="auto"/>
          <w:sz w:val="22"/>
          <w:szCs w:val="22"/>
          <w:lang w:eastAsia="en-AU"/>
        </w:rPr>
        <w:t>of a non-</w:t>
      </w:r>
      <w:r w:rsidR="00B5136A" w:rsidRPr="000966B1">
        <w:rPr>
          <w:rFonts w:asciiTheme="minorHAnsi" w:eastAsiaTheme="minorHAnsi" w:hAnsiTheme="minorHAnsi" w:cstheme="minorHAnsi"/>
          <w:color w:val="auto"/>
          <w:sz w:val="22"/>
          <w:szCs w:val="22"/>
          <w:lang w:eastAsia="en-AU"/>
        </w:rPr>
        <w:t xml:space="preserve">resident parent may receive </w:t>
      </w:r>
      <w:r w:rsidR="00FB139C">
        <w:rPr>
          <w:rFonts w:asciiTheme="minorHAnsi" w:eastAsiaTheme="minorHAnsi" w:hAnsiTheme="minorHAnsi" w:cstheme="minorHAnsi"/>
          <w:color w:val="auto"/>
          <w:sz w:val="22"/>
          <w:szCs w:val="22"/>
          <w:lang w:eastAsia="en-AU"/>
        </w:rPr>
        <w:t>S</w:t>
      </w:r>
      <w:r w:rsidR="00B5136A" w:rsidRPr="000966B1">
        <w:rPr>
          <w:rFonts w:asciiTheme="minorHAnsi" w:eastAsiaTheme="minorHAnsi" w:hAnsiTheme="minorHAnsi" w:cstheme="minorHAnsi"/>
          <w:color w:val="auto"/>
          <w:sz w:val="22"/>
          <w:szCs w:val="22"/>
          <w:lang w:eastAsia="en-AU"/>
        </w:rPr>
        <w:t xml:space="preserve">pecial </w:t>
      </w:r>
      <w:r w:rsidR="00FB139C">
        <w:rPr>
          <w:rFonts w:asciiTheme="minorHAnsi" w:eastAsiaTheme="minorHAnsi" w:hAnsiTheme="minorHAnsi" w:cstheme="minorHAnsi"/>
          <w:color w:val="auto"/>
          <w:sz w:val="22"/>
          <w:szCs w:val="22"/>
          <w:lang w:eastAsia="en-AU"/>
        </w:rPr>
        <w:t>B</w:t>
      </w:r>
      <w:r w:rsidR="00B5136A" w:rsidRPr="000966B1">
        <w:rPr>
          <w:rFonts w:asciiTheme="minorHAnsi" w:eastAsiaTheme="minorHAnsi" w:hAnsiTheme="minorHAnsi" w:cstheme="minorHAnsi"/>
          <w:color w:val="auto"/>
          <w:sz w:val="22"/>
          <w:szCs w:val="22"/>
          <w:lang w:eastAsia="en-AU"/>
        </w:rPr>
        <w:t xml:space="preserve">enefit. However the parent is required </w:t>
      </w:r>
      <w:r w:rsidRPr="000966B1">
        <w:rPr>
          <w:rFonts w:asciiTheme="minorHAnsi" w:eastAsiaTheme="minorHAnsi" w:hAnsiTheme="minorHAnsi" w:cstheme="minorHAnsi"/>
          <w:color w:val="auto"/>
          <w:sz w:val="22"/>
          <w:szCs w:val="22"/>
          <w:lang w:eastAsia="en-AU"/>
        </w:rPr>
        <w:t xml:space="preserve">to forego payment of Family Tax Benefit in order for the child to receive Special Benefit. </w:t>
      </w:r>
      <w:r w:rsidR="00B5136A" w:rsidRPr="000966B1">
        <w:rPr>
          <w:rFonts w:asciiTheme="minorHAnsi" w:eastAsiaTheme="minorHAnsi" w:hAnsiTheme="minorHAnsi" w:cstheme="minorHAnsi"/>
          <w:color w:val="auto"/>
          <w:sz w:val="22"/>
          <w:szCs w:val="22"/>
          <w:lang w:eastAsia="en-AU"/>
        </w:rPr>
        <w:t xml:space="preserve">This is because of section 22A(1) of the </w:t>
      </w:r>
      <w:r w:rsidR="00B5136A" w:rsidRPr="000966B1">
        <w:rPr>
          <w:rFonts w:asciiTheme="minorHAnsi" w:eastAsiaTheme="minorHAnsi" w:hAnsiTheme="minorHAnsi" w:cstheme="minorHAnsi"/>
          <w:i/>
          <w:color w:val="auto"/>
          <w:sz w:val="22"/>
          <w:szCs w:val="22"/>
          <w:lang w:eastAsia="en-AU"/>
        </w:rPr>
        <w:t>Family Assistance Act</w:t>
      </w:r>
      <w:r w:rsidR="00B5136A" w:rsidRPr="000966B1">
        <w:rPr>
          <w:rFonts w:asciiTheme="minorHAnsi" w:eastAsiaTheme="minorHAnsi" w:hAnsiTheme="minorHAnsi" w:cstheme="minorHAnsi"/>
          <w:b/>
          <w:i/>
          <w:color w:val="auto"/>
          <w:sz w:val="22"/>
          <w:szCs w:val="22"/>
          <w:lang w:eastAsia="en-AU"/>
        </w:rPr>
        <w:t>,</w:t>
      </w:r>
      <w:r w:rsidR="00B5136A" w:rsidRPr="000966B1">
        <w:rPr>
          <w:rFonts w:asciiTheme="minorHAnsi" w:eastAsiaTheme="minorHAnsi" w:hAnsiTheme="minorHAnsi" w:cstheme="minorHAnsi"/>
          <w:i/>
          <w:color w:val="auto"/>
          <w:sz w:val="22"/>
          <w:szCs w:val="22"/>
          <w:lang w:eastAsia="en-AU"/>
        </w:rPr>
        <w:t xml:space="preserve"> </w:t>
      </w:r>
      <w:r w:rsidR="00B5136A" w:rsidRPr="000966B1">
        <w:rPr>
          <w:rFonts w:asciiTheme="minorHAnsi" w:eastAsiaTheme="minorHAnsi" w:hAnsiTheme="minorHAnsi" w:cstheme="minorHAnsi"/>
          <w:color w:val="auto"/>
          <w:sz w:val="22"/>
          <w:szCs w:val="22"/>
          <w:lang w:eastAsia="en-AU"/>
        </w:rPr>
        <w:t>which states that a person cannot receive Family Tax Benefit in respect of a child who receives an income support payment in their own name.</w:t>
      </w:r>
      <w:r w:rsidR="00B5136A" w:rsidRPr="000966B1">
        <w:rPr>
          <w:rFonts w:asciiTheme="minorHAnsi" w:eastAsiaTheme="minorHAnsi" w:hAnsiTheme="minorHAnsi" w:cstheme="minorHAnsi"/>
          <w:i/>
          <w:color w:val="auto"/>
          <w:sz w:val="22"/>
          <w:szCs w:val="22"/>
          <w:vertAlign w:val="superscript"/>
          <w:lang w:eastAsia="en-AU"/>
        </w:rPr>
        <w:t xml:space="preserve"> </w:t>
      </w:r>
      <w:r w:rsidR="00B5136A" w:rsidRPr="000966B1">
        <w:rPr>
          <w:rFonts w:asciiTheme="minorHAnsi" w:eastAsiaTheme="minorHAnsi" w:hAnsiTheme="minorHAnsi" w:cstheme="minorHAnsi"/>
          <w:i/>
          <w:color w:val="auto"/>
          <w:sz w:val="22"/>
          <w:szCs w:val="22"/>
          <w:vertAlign w:val="superscript"/>
          <w:lang w:eastAsia="en-AU"/>
        </w:rPr>
        <w:footnoteReference w:id="23"/>
      </w:r>
      <w:r w:rsidR="00B5136A" w:rsidRPr="000966B1">
        <w:rPr>
          <w:rFonts w:asciiTheme="minorHAnsi" w:eastAsiaTheme="minorHAnsi" w:hAnsiTheme="minorHAnsi" w:cstheme="minorHAnsi"/>
          <w:i/>
          <w:color w:val="auto"/>
          <w:sz w:val="22"/>
          <w:szCs w:val="22"/>
          <w:vertAlign w:val="superscript"/>
          <w:lang w:eastAsia="en-AU"/>
        </w:rPr>
        <w:t>/</w:t>
      </w:r>
      <w:r w:rsidR="00B5136A" w:rsidRPr="000966B1">
        <w:rPr>
          <w:rFonts w:asciiTheme="minorHAnsi" w:eastAsiaTheme="minorHAnsi" w:hAnsiTheme="minorHAnsi" w:cstheme="minorHAnsi"/>
          <w:color w:val="auto"/>
          <w:sz w:val="22"/>
          <w:szCs w:val="22"/>
          <w:vertAlign w:val="superscript"/>
          <w:lang w:eastAsia="en-AU"/>
        </w:rPr>
        <w:footnoteReference w:id="24"/>
      </w:r>
      <w:r w:rsidR="00B5136A" w:rsidRPr="000966B1">
        <w:rPr>
          <w:rFonts w:asciiTheme="minorHAnsi" w:eastAsiaTheme="minorHAnsi" w:hAnsiTheme="minorHAnsi" w:cstheme="minorHAnsi"/>
          <w:color w:val="auto"/>
          <w:sz w:val="22"/>
          <w:szCs w:val="22"/>
          <w:lang w:eastAsia="en-AU"/>
        </w:rPr>
        <w:t xml:space="preserve"> </w:t>
      </w:r>
    </w:p>
    <w:p w:rsidR="00756044" w:rsidRPr="000966B1" w:rsidRDefault="00756044" w:rsidP="00756044">
      <w:pPr>
        <w:spacing w:after="200" w:line="276" w:lineRule="auto"/>
        <w:rPr>
          <w:rFonts w:asciiTheme="minorHAnsi" w:eastAsiaTheme="minorHAnsi" w:hAnsiTheme="minorHAnsi" w:cstheme="minorHAnsi"/>
          <w:color w:val="auto"/>
          <w:sz w:val="22"/>
          <w:szCs w:val="22"/>
          <w:lang w:eastAsia="en-AU"/>
        </w:rPr>
      </w:pPr>
      <w:r w:rsidRPr="000966B1">
        <w:rPr>
          <w:rFonts w:asciiTheme="minorHAnsi" w:eastAsiaTheme="minorHAnsi" w:hAnsiTheme="minorHAnsi" w:cstheme="minorHAnsi"/>
          <w:color w:val="auto"/>
          <w:sz w:val="22"/>
          <w:szCs w:val="22"/>
          <w:lang w:eastAsia="en-AU"/>
        </w:rPr>
        <w:t xml:space="preserve">We understand that the intention of this section is to prevent a parent receiving Family Tax Benefit at the same time as their child receives Youth Allowance. </w:t>
      </w:r>
    </w:p>
    <w:p w:rsidR="00B5136A" w:rsidRPr="000966B1" w:rsidRDefault="00756044" w:rsidP="00B5136A">
      <w:pPr>
        <w:spacing w:after="200" w:line="276" w:lineRule="auto"/>
        <w:rPr>
          <w:rFonts w:asciiTheme="minorHAnsi" w:eastAsiaTheme="minorHAnsi" w:hAnsiTheme="minorHAnsi" w:cstheme="minorHAnsi"/>
          <w:color w:val="auto"/>
          <w:sz w:val="22"/>
          <w:szCs w:val="22"/>
          <w:lang w:eastAsia="en-AU"/>
        </w:rPr>
      </w:pPr>
      <w:r w:rsidRPr="000966B1">
        <w:rPr>
          <w:rFonts w:asciiTheme="minorHAnsi" w:eastAsiaTheme="minorHAnsi" w:hAnsiTheme="minorHAnsi" w:cstheme="minorHAnsi"/>
          <w:color w:val="auto"/>
          <w:sz w:val="22"/>
          <w:szCs w:val="22"/>
          <w:lang w:eastAsia="en-AU"/>
        </w:rPr>
        <w:t>However</w:t>
      </w:r>
      <w:r w:rsidR="000E46E9">
        <w:rPr>
          <w:rFonts w:asciiTheme="minorHAnsi" w:eastAsiaTheme="minorHAnsi" w:hAnsiTheme="minorHAnsi" w:cstheme="minorHAnsi"/>
          <w:color w:val="auto"/>
          <w:sz w:val="22"/>
          <w:szCs w:val="22"/>
          <w:lang w:eastAsia="en-AU"/>
        </w:rPr>
        <w:t>,</w:t>
      </w:r>
      <w:r w:rsidRPr="000966B1">
        <w:rPr>
          <w:rFonts w:asciiTheme="minorHAnsi" w:eastAsiaTheme="minorHAnsi" w:hAnsiTheme="minorHAnsi" w:cstheme="minorHAnsi"/>
          <w:color w:val="auto"/>
          <w:sz w:val="22"/>
          <w:szCs w:val="22"/>
          <w:lang w:eastAsia="en-AU"/>
        </w:rPr>
        <w:t xml:space="preserve"> in the Youth Allowance cases, unlike child Special Benefit cases, the parents would generally be receiving their own income support payment (</w:t>
      </w:r>
      <w:proofErr w:type="spellStart"/>
      <w:r w:rsidRPr="000966B1">
        <w:rPr>
          <w:rFonts w:asciiTheme="minorHAnsi" w:eastAsiaTheme="minorHAnsi" w:hAnsiTheme="minorHAnsi" w:cstheme="minorHAnsi"/>
          <w:color w:val="auto"/>
          <w:sz w:val="22"/>
          <w:szCs w:val="22"/>
          <w:lang w:eastAsia="en-AU"/>
        </w:rPr>
        <w:t>eg</w:t>
      </w:r>
      <w:proofErr w:type="spellEnd"/>
      <w:r w:rsidRPr="000966B1">
        <w:rPr>
          <w:rFonts w:asciiTheme="minorHAnsi" w:eastAsiaTheme="minorHAnsi" w:hAnsiTheme="minorHAnsi" w:cstheme="minorHAnsi"/>
          <w:color w:val="auto"/>
          <w:sz w:val="22"/>
          <w:szCs w:val="22"/>
          <w:lang w:eastAsia="en-AU"/>
        </w:rPr>
        <w:t xml:space="preserve"> </w:t>
      </w:r>
      <w:proofErr w:type="spellStart"/>
      <w:r w:rsidRPr="000966B1">
        <w:rPr>
          <w:rFonts w:asciiTheme="minorHAnsi" w:eastAsiaTheme="minorHAnsi" w:hAnsiTheme="minorHAnsi" w:cstheme="minorHAnsi"/>
          <w:color w:val="auto"/>
          <w:sz w:val="22"/>
          <w:szCs w:val="22"/>
          <w:lang w:eastAsia="en-AU"/>
        </w:rPr>
        <w:t>Newstart</w:t>
      </w:r>
      <w:proofErr w:type="spellEnd"/>
      <w:r w:rsidRPr="000966B1">
        <w:rPr>
          <w:rFonts w:asciiTheme="minorHAnsi" w:eastAsiaTheme="minorHAnsi" w:hAnsiTheme="minorHAnsi" w:cstheme="minorHAnsi"/>
          <w:color w:val="auto"/>
          <w:sz w:val="22"/>
          <w:szCs w:val="22"/>
          <w:lang w:eastAsia="en-AU"/>
        </w:rPr>
        <w:t xml:space="preserve"> Allowance or a pension), or have income of their own. In Special Benefit cases where a child is paid Special Benefit, the parent(s) have no income support payment of their own.</w:t>
      </w:r>
    </w:p>
    <w:p w:rsidR="00B5136A" w:rsidRPr="000966B1" w:rsidRDefault="00B5136A" w:rsidP="00756044">
      <w:pPr>
        <w:spacing w:after="200" w:line="276" w:lineRule="auto"/>
        <w:rPr>
          <w:rFonts w:asciiTheme="minorHAnsi" w:eastAsiaTheme="minorHAnsi" w:hAnsiTheme="minorHAnsi" w:cstheme="minorHAnsi"/>
          <w:color w:val="auto"/>
          <w:sz w:val="22"/>
          <w:szCs w:val="22"/>
          <w:lang w:eastAsia="en-AU"/>
        </w:rPr>
      </w:pPr>
      <w:r w:rsidRPr="000966B1">
        <w:rPr>
          <w:rFonts w:asciiTheme="minorHAnsi" w:eastAsiaTheme="minorHAnsi" w:hAnsiTheme="minorHAnsi" w:cstheme="minorHAnsi"/>
          <w:color w:val="auto"/>
          <w:sz w:val="22"/>
          <w:szCs w:val="22"/>
          <w:lang w:eastAsia="en-AU"/>
        </w:rPr>
        <w:t>Thus</w:t>
      </w:r>
      <w:r w:rsidR="000E46E9">
        <w:rPr>
          <w:rFonts w:asciiTheme="minorHAnsi" w:eastAsiaTheme="minorHAnsi" w:hAnsiTheme="minorHAnsi" w:cstheme="minorHAnsi"/>
          <w:color w:val="auto"/>
          <w:sz w:val="22"/>
          <w:szCs w:val="22"/>
          <w:lang w:eastAsia="en-AU"/>
        </w:rPr>
        <w:t>,</w:t>
      </w:r>
      <w:r w:rsidRPr="000966B1">
        <w:rPr>
          <w:rFonts w:asciiTheme="minorHAnsi" w:eastAsiaTheme="minorHAnsi" w:hAnsiTheme="minorHAnsi" w:cstheme="minorHAnsi"/>
          <w:color w:val="auto"/>
          <w:sz w:val="22"/>
          <w:szCs w:val="22"/>
          <w:lang w:eastAsia="en-AU"/>
        </w:rPr>
        <w:t xml:space="preserve"> the family generally receives several hundred dollars per fortnight less than a family relying on Newstart Allowance as the primary income support payment. Such a family would also miss out on the annual Family Tax Benefit supplements.</w:t>
      </w:r>
    </w:p>
    <w:p w:rsidR="00756044" w:rsidRPr="000966B1" w:rsidRDefault="00756044" w:rsidP="00756044">
      <w:pPr>
        <w:spacing w:after="200" w:line="276" w:lineRule="auto"/>
        <w:rPr>
          <w:rFonts w:asciiTheme="minorHAnsi" w:eastAsiaTheme="minorHAnsi" w:hAnsiTheme="minorHAnsi" w:cstheme="minorHAnsi"/>
          <w:color w:val="auto"/>
          <w:sz w:val="22"/>
          <w:szCs w:val="22"/>
          <w:lang w:eastAsia="en-AU"/>
        </w:rPr>
      </w:pPr>
      <w:r w:rsidRPr="000966B1">
        <w:rPr>
          <w:rFonts w:asciiTheme="minorHAnsi" w:eastAsiaTheme="minorHAnsi" w:hAnsiTheme="minorHAnsi" w:cstheme="minorHAnsi"/>
          <w:color w:val="auto"/>
          <w:sz w:val="22"/>
          <w:szCs w:val="22"/>
          <w:lang w:eastAsia="en-AU"/>
        </w:rPr>
        <w:t xml:space="preserve">It is unlikely that the </w:t>
      </w:r>
      <w:r w:rsidRPr="000966B1">
        <w:rPr>
          <w:rFonts w:asciiTheme="minorHAnsi" w:eastAsiaTheme="minorHAnsi" w:hAnsiTheme="minorHAnsi" w:cstheme="minorHAnsi"/>
          <w:i/>
          <w:color w:val="auto"/>
          <w:sz w:val="22"/>
          <w:szCs w:val="22"/>
          <w:lang w:eastAsia="en-AU"/>
        </w:rPr>
        <w:t xml:space="preserve">Family Assistance Act </w:t>
      </w:r>
      <w:r w:rsidRPr="000966B1">
        <w:rPr>
          <w:rFonts w:asciiTheme="minorHAnsi" w:eastAsiaTheme="minorHAnsi" w:hAnsiTheme="minorHAnsi" w:cstheme="minorHAnsi"/>
          <w:color w:val="auto"/>
          <w:sz w:val="22"/>
          <w:szCs w:val="22"/>
          <w:lang w:eastAsia="en-AU"/>
        </w:rPr>
        <w:t>was intended to operate in this way in relation to Special Benefit where the child, not the parent, is in receipt of the family’s only income support payment.</w:t>
      </w:r>
    </w:p>
    <w:p w:rsidR="00756044" w:rsidRPr="000966B1" w:rsidRDefault="00756044" w:rsidP="00756044">
      <w:p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spacing w:after="200" w:line="276" w:lineRule="auto"/>
        <w:rPr>
          <w:rFonts w:asciiTheme="minorHAnsi" w:eastAsiaTheme="minorHAnsi" w:hAnsiTheme="minorHAnsi" w:cstheme="minorHAnsi"/>
          <w:color w:val="17365D" w:themeColor="text2" w:themeShade="BF"/>
          <w:sz w:val="22"/>
          <w:szCs w:val="22"/>
          <w:lang w:eastAsia="en-AU"/>
        </w:rPr>
      </w:pPr>
      <w:r w:rsidRPr="000966B1">
        <w:rPr>
          <w:rFonts w:asciiTheme="minorHAnsi" w:eastAsiaTheme="minorHAnsi" w:hAnsiTheme="minorHAnsi" w:cstheme="minorHAnsi"/>
          <w:b/>
          <w:color w:val="auto"/>
          <w:sz w:val="22"/>
          <w:szCs w:val="22"/>
          <w:lang w:eastAsia="en-AU"/>
        </w:rPr>
        <w:t>Recommendation #</w:t>
      </w:r>
      <w:r w:rsidR="00FB139C">
        <w:rPr>
          <w:rFonts w:asciiTheme="minorHAnsi" w:eastAsiaTheme="minorHAnsi" w:hAnsiTheme="minorHAnsi" w:cstheme="minorHAnsi"/>
          <w:b/>
          <w:color w:val="auto"/>
          <w:sz w:val="22"/>
          <w:szCs w:val="22"/>
          <w:lang w:eastAsia="en-AU"/>
        </w:rPr>
        <w:t>11</w:t>
      </w:r>
      <w:r w:rsidRPr="000966B1">
        <w:rPr>
          <w:rFonts w:asciiTheme="minorHAnsi" w:eastAsiaTheme="minorHAnsi" w:hAnsiTheme="minorHAnsi" w:cstheme="minorHAnsi"/>
          <w:b/>
          <w:color w:val="auto"/>
          <w:sz w:val="22"/>
          <w:szCs w:val="22"/>
          <w:lang w:eastAsia="en-AU"/>
        </w:rPr>
        <w:t>:</w:t>
      </w:r>
      <w:r w:rsidRPr="000966B1">
        <w:rPr>
          <w:rFonts w:asciiTheme="minorHAnsi" w:eastAsiaTheme="minorHAnsi" w:hAnsiTheme="minorHAnsi" w:cstheme="minorHAnsi"/>
          <w:color w:val="auto"/>
          <w:sz w:val="22"/>
          <w:szCs w:val="22"/>
          <w:lang w:eastAsia="en-AU"/>
        </w:rPr>
        <w:t xml:space="preserve"> The requirement for a parent to forego Family Tax Benefit in the case of a child receiving Special Benefit should be removed where the child’s parent is without a sufficient livelihood and is not receiving a social security payment.</w:t>
      </w:r>
    </w:p>
    <w:p w:rsidR="009F0604" w:rsidRDefault="009F0604" w:rsidP="004D6529">
      <w:pPr>
        <w:pStyle w:val="Heading3"/>
        <w:rPr>
          <w:rFonts w:eastAsiaTheme="minorHAnsi"/>
          <w:sz w:val="24"/>
          <w:szCs w:val="24"/>
        </w:rPr>
      </w:pPr>
    </w:p>
    <w:p w:rsidR="00756044" w:rsidRPr="00FE420F" w:rsidRDefault="00B5136A" w:rsidP="004D6529">
      <w:pPr>
        <w:pStyle w:val="Heading3"/>
        <w:rPr>
          <w:rFonts w:eastAsiaTheme="minorHAnsi"/>
          <w:sz w:val="24"/>
          <w:szCs w:val="24"/>
        </w:rPr>
      </w:pPr>
      <w:bookmarkStart w:id="14" w:name="_Toc379199690"/>
      <w:r w:rsidRPr="00FE420F">
        <w:rPr>
          <w:rFonts w:eastAsiaTheme="minorHAnsi"/>
          <w:sz w:val="24"/>
          <w:szCs w:val="24"/>
        </w:rPr>
        <w:t xml:space="preserve">Restore </w:t>
      </w:r>
      <w:r w:rsidR="00E411A0" w:rsidRPr="00FE420F">
        <w:rPr>
          <w:rFonts w:eastAsiaTheme="minorHAnsi"/>
          <w:sz w:val="24"/>
          <w:szCs w:val="24"/>
        </w:rPr>
        <w:t xml:space="preserve">limited </w:t>
      </w:r>
      <w:r w:rsidRPr="00FE420F">
        <w:rPr>
          <w:rFonts w:eastAsiaTheme="minorHAnsi"/>
          <w:sz w:val="24"/>
          <w:szCs w:val="24"/>
        </w:rPr>
        <w:t>exemption</w:t>
      </w:r>
      <w:r w:rsidR="00E411A0" w:rsidRPr="00FE420F">
        <w:rPr>
          <w:rFonts w:eastAsiaTheme="minorHAnsi"/>
          <w:sz w:val="24"/>
          <w:szCs w:val="24"/>
        </w:rPr>
        <w:t>s</w:t>
      </w:r>
      <w:r w:rsidRPr="00FE420F">
        <w:rPr>
          <w:rFonts w:eastAsiaTheme="minorHAnsi"/>
          <w:sz w:val="24"/>
          <w:szCs w:val="24"/>
        </w:rPr>
        <w:t xml:space="preserve"> from the newly arrived residents waiting period</w:t>
      </w:r>
      <w:bookmarkEnd w:id="14"/>
      <w:r w:rsidRPr="00FE420F">
        <w:rPr>
          <w:rFonts w:eastAsiaTheme="minorHAnsi"/>
          <w:sz w:val="24"/>
          <w:szCs w:val="24"/>
        </w:rPr>
        <w:t xml:space="preserve"> </w:t>
      </w:r>
    </w:p>
    <w:p w:rsidR="000E46E9" w:rsidRDefault="000E46E9" w:rsidP="00756044">
      <w:pPr>
        <w:spacing w:after="200" w:line="276" w:lineRule="auto"/>
        <w:rPr>
          <w:rFonts w:asciiTheme="minorHAnsi" w:eastAsiaTheme="minorHAnsi" w:hAnsiTheme="minorHAnsi" w:cstheme="minorBidi"/>
          <w:color w:val="auto"/>
          <w:sz w:val="22"/>
          <w:szCs w:val="22"/>
        </w:rPr>
      </w:pPr>
    </w:p>
    <w:p w:rsidR="00B5136A" w:rsidRDefault="00B5136A" w:rsidP="00756044">
      <w:pPr>
        <w:spacing w:after="200" w:line="276" w:lineRule="auto"/>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NWRN </w:t>
      </w:r>
      <w:r w:rsidR="000E46E9">
        <w:rPr>
          <w:rFonts w:asciiTheme="minorHAnsi" w:eastAsiaTheme="minorHAnsi" w:hAnsiTheme="minorHAnsi" w:cstheme="minorBidi"/>
          <w:color w:val="auto"/>
          <w:sz w:val="22"/>
          <w:szCs w:val="22"/>
        </w:rPr>
        <w:t xml:space="preserve">Members </w:t>
      </w:r>
      <w:r>
        <w:rPr>
          <w:rFonts w:asciiTheme="minorHAnsi" w:eastAsiaTheme="minorHAnsi" w:hAnsiTheme="minorHAnsi" w:cstheme="minorBidi"/>
          <w:color w:val="auto"/>
          <w:sz w:val="22"/>
          <w:szCs w:val="22"/>
        </w:rPr>
        <w:t>receive</w:t>
      </w:r>
      <w:r w:rsidR="000E46E9">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 xml:space="preserve">a significant number of calls from couples and families who are surviving on a single income support payment (and if there are children, </w:t>
      </w:r>
      <w:r w:rsidR="00E411A0">
        <w:rPr>
          <w:rFonts w:asciiTheme="minorHAnsi" w:eastAsiaTheme="minorHAnsi" w:hAnsiTheme="minorHAnsi" w:cstheme="minorBidi"/>
          <w:color w:val="auto"/>
          <w:sz w:val="22"/>
          <w:szCs w:val="22"/>
        </w:rPr>
        <w:t>F</w:t>
      </w:r>
      <w:r>
        <w:rPr>
          <w:rFonts w:asciiTheme="minorHAnsi" w:eastAsiaTheme="minorHAnsi" w:hAnsiTheme="minorHAnsi" w:cstheme="minorBidi"/>
          <w:color w:val="auto"/>
          <w:sz w:val="22"/>
          <w:szCs w:val="22"/>
        </w:rPr>
        <w:t xml:space="preserve">amily </w:t>
      </w:r>
      <w:r w:rsidR="00E411A0">
        <w:rPr>
          <w:rFonts w:asciiTheme="minorHAnsi" w:eastAsiaTheme="minorHAnsi" w:hAnsiTheme="minorHAnsi" w:cstheme="minorBidi"/>
          <w:color w:val="auto"/>
          <w:sz w:val="22"/>
          <w:szCs w:val="22"/>
        </w:rPr>
        <w:t>T</w:t>
      </w:r>
      <w:r>
        <w:rPr>
          <w:rFonts w:asciiTheme="minorHAnsi" w:eastAsiaTheme="minorHAnsi" w:hAnsiTheme="minorHAnsi" w:cstheme="minorBidi"/>
          <w:color w:val="auto"/>
          <w:sz w:val="22"/>
          <w:szCs w:val="22"/>
        </w:rPr>
        <w:t xml:space="preserve">ax </w:t>
      </w:r>
      <w:r w:rsidR="00E411A0">
        <w:rPr>
          <w:rFonts w:asciiTheme="minorHAnsi" w:eastAsiaTheme="minorHAnsi" w:hAnsiTheme="minorHAnsi" w:cstheme="minorBidi"/>
          <w:color w:val="auto"/>
          <w:sz w:val="22"/>
          <w:szCs w:val="22"/>
        </w:rPr>
        <w:t>B</w:t>
      </w:r>
      <w:r>
        <w:rPr>
          <w:rFonts w:asciiTheme="minorHAnsi" w:eastAsiaTheme="minorHAnsi" w:hAnsiTheme="minorHAnsi" w:cstheme="minorBidi"/>
          <w:color w:val="auto"/>
          <w:sz w:val="22"/>
          <w:szCs w:val="22"/>
        </w:rPr>
        <w:t xml:space="preserve">enefit). This is placing vulnerable new families in extreme financial hardship. </w:t>
      </w:r>
    </w:p>
    <w:p w:rsidR="00B5136A" w:rsidRDefault="00B5136A" w:rsidP="00756044">
      <w:pPr>
        <w:spacing w:after="200" w:line="276" w:lineRule="auto"/>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Previously, a 309 or 820 visa holder was automatically exempt from the two year waiting period for </w:t>
      </w:r>
      <w:r w:rsidR="00FB139C">
        <w:rPr>
          <w:rFonts w:asciiTheme="minorHAnsi" w:eastAsiaTheme="minorHAnsi" w:hAnsiTheme="minorHAnsi" w:cstheme="minorBidi"/>
          <w:color w:val="auto"/>
          <w:sz w:val="22"/>
          <w:szCs w:val="22"/>
        </w:rPr>
        <w:t>S</w:t>
      </w:r>
      <w:r>
        <w:rPr>
          <w:rFonts w:asciiTheme="minorHAnsi" w:eastAsiaTheme="minorHAnsi" w:hAnsiTheme="minorHAnsi" w:cstheme="minorBidi"/>
          <w:color w:val="auto"/>
          <w:sz w:val="22"/>
          <w:szCs w:val="22"/>
        </w:rPr>
        <w:t xml:space="preserve">pecial </w:t>
      </w:r>
      <w:r w:rsidR="00FB139C">
        <w:rPr>
          <w:rFonts w:asciiTheme="minorHAnsi" w:eastAsiaTheme="minorHAnsi" w:hAnsiTheme="minorHAnsi" w:cstheme="minorBidi"/>
          <w:color w:val="auto"/>
          <w:sz w:val="22"/>
          <w:szCs w:val="22"/>
        </w:rPr>
        <w:t>B</w:t>
      </w:r>
      <w:r>
        <w:rPr>
          <w:rFonts w:asciiTheme="minorHAnsi" w:eastAsiaTheme="minorHAnsi" w:hAnsiTheme="minorHAnsi" w:cstheme="minorBidi"/>
          <w:color w:val="auto"/>
          <w:sz w:val="22"/>
          <w:szCs w:val="22"/>
        </w:rPr>
        <w:t xml:space="preserve">enefit. The qualification </w:t>
      </w:r>
      <w:r w:rsidR="00FE420F">
        <w:rPr>
          <w:rFonts w:asciiTheme="minorHAnsi" w:eastAsiaTheme="minorHAnsi" w:hAnsiTheme="minorHAnsi" w:cstheme="minorBidi"/>
          <w:color w:val="auto"/>
          <w:sz w:val="22"/>
          <w:szCs w:val="22"/>
        </w:rPr>
        <w:t>criteria for Special Benefit are</w:t>
      </w:r>
      <w:r>
        <w:rPr>
          <w:rFonts w:asciiTheme="minorHAnsi" w:eastAsiaTheme="minorHAnsi" w:hAnsiTheme="minorHAnsi" w:cstheme="minorBidi"/>
          <w:color w:val="auto"/>
          <w:sz w:val="22"/>
          <w:szCs w:val="22"/>
        </w:rPr>
        <w:t xml:space="preserve"> so restricte</w:t>
      </w:r>
      <w:r w:rsidR="004D6529">
        <w:rPr>
          <w:rFonts w:asciiTheme="minorHAnsi" w:eastAsiaTheme="minorHAnsi" w:hAnsiTheme="minorHAnsi" w:cstheme="minorBidi"/>
          <w:color w:val="auto"/>
          <w:sz w:val="22"/>
          <w:szCs w:val="22"/>
        </w:rPr>
        <w:t>d</w:t>
      </w:r>
      <w:r>
        <w:rPr>
          <w:rFonts w:asciiTheme="minorHAnsi" w:eastAsiaTheme="minorHAnsi" w:hAnsiTheme="minorHAnsi" w:cstheme="minorBidi"/>
          <w:color w:val="auto"/>
          <w:sz w:val="22"/>
          <w:szCs w:val="22"/>
        </w:rPr>
        <w:t xml:space="preserve"> that only people in dire circumstances can access it. </w:t>
      </w:r>
      <w:r w:rsidR="0065374F">
        <w:rPr>
          <w:rFonts w:asciiTheme="minorHAnsi" w:eastAsiaTheme="minorHAnsi" w:hAnsiTheme="minorHAnsi" w:cstheme="minorBidi"/>
          <w:color w:val="auto"/>
          <w:sz w:val="22"/>
          <w:szCs w:val="22"/>
        </w:rPr>
        <w:t xml:space="preserve"> </w:t>
      </w:r>
      <w:r w:rsidR="004D6529">
        <w:rPr>
          <w:rFonts w:asciiTheme="minorHAnsi" w:eastAsiaTheme="minorHAnsi" w:hAnsiTheme="minorHAnsi" w:cstheme="minorBidi"/>
          <w:color w:val="auto"/>
          <w:sz w:val="22"/>
          <w:szCs w:val="22"/>
        </w:rPr>
        <w:t>We do not propose that the automatic exemption apply to all payments (</w:t>
      </w:r>
      <w:proofErr w:type="spellStart"/>
      <w:r w:rsidR="004D6529">
        <w:rPr>
          <w:rFonts w:asciiTheme="minorHAnsi" w:eastAsiaTheme="minorHAnsi" w:hAnsiTheme="minorHAnsi" w:cstheme="minorBidi"/>
          <w:color w:val="auto"/>
          <w:sz w:val="22"/>
          <w:szCs w:val="22"/>
        </w:rPr>
        <w:t>eg</w:t>
      </w:r>
      <w:proofErr w:type="spellEnd"/>
      <w:r w:rsidR="004D6529">
        <w:rPr>
          <w:rFonts w:asciiTheme="minorHAnsi" w:eastAsiaTheme="minorHAnsi" w:hAnsiTheme="minorHAnsi" w:cstheme="minorBidi"/>
          <w:color w:val="auto"/>
          <w:sz w:val="22"/>
          <w:szCs w:val="22"/>
        </w:rPr>
        <w:t xml:space="preserve"> </w:t>
      </w:r>
      <w:proofErr w:type="spellStart"/>
      <w:r w:rsidR="004D6529">
        <w:rPr>
          <w:rFonts w:asciiTheme="minorHAnsi" w:eastAsiaTheme="minorHAnsi" w:hAnsiTheme="minorHAnsi" w:cstheme="minorBidi"/>
          <w:color w:val="auto"/>
          <w:sz w:val="22"/>
          <w:szCs w:val="22"/>
        </w:rPr>
        <w:t>Newstart</w:t>
      </w:r>
      <w:proofErr w:type="spellEnd"/>
      <w:r w:rsidR="00E411A0">
        <w:rPr>
          <w:rFonts w:asciiTheme="minorHAnsi" w:eastAsiaTheme="minorHAnsi" w:hAnsiTheme="minorHAnsi" w:cstheme="minorBidi"/>
          <w:color w:val="auto"/>
          <w:sz w:val="22"/>
          <w:szCs w:val="22"/>
        </w:rPr>
        <w:t xml:space="preserve"> Allowance</w:t>
      </w:r>
      <w:r w:rsidR="004D6529">
        <w:rPr>
          <w:rFonts w:asciiTheme="minorHAnsi" w:eastAsiaTheme="minorHAnsi" w:hAnsiTheme="minorHAnsi" w:cstheme="minorBidi"/>
          <w:color w:val="auto"/>
          <w:sz w:val="22"/>
          <w:szCs w:val="22"/>
        </w:rPr>
        <w:t xml:space="preserve">) only that it apply once again for </w:t>
      </w:r>
      <w:r w:rsidR="00FB139C">
        <w:rPr>
          <w:rFonts w:asciiTheme="minorHAnsi" w:eastAsiaTheme="minorHAnsi" w:hAnsiTheme="minorHAnsi" w:cstheme="minorBidi"/>
          <w:color w:val="auto"/>
          <w:sz w:val="22"/>
          <w:szCs w:val="22"/>
        </w:rPr>
        <w:t>S</w:t>
      </w:r>
      <w:r w:rsidR="004D6529">
        <w:rPr>
          <w:rFonts w:asciiTheme="minorHAnsi" w:eastAsiaTheme="minorHAnsi" w:hAnsiTheme="minorHAnsi" w:cstheme="minorBidi"/>
          <w:color w:val="auto"/>
          <w:sz w:val="22"/>
          <w:szCs w:val="22"/>
        </w:rPr>
        <w:t xml:space="preserve">pecial </w:t>
      </w:r>
      <w:r w:rsidR="00FB139C">
        <w:rPr>
          <w:rFonts w:asciiTheme="minorHAnsi" w:eastAsiaTheme="minorHAnsi" w:hAnsiTheme="minorHAnsi" w:cstheme="minorBidi"/>
          <w:color w:val="auto"/>
          <w:sz w:val="22"/>
          <w:szCs w:val="22"/>
        </w:rPr>
        <w:t>B</w:t>
      </w:r>
      <w:r w:rsidR="004D6529">
        <w:rPr>
          <w:rFonts w:asciiTheme="minorHAnsi" w:eastAsiaTheme="minorHAnsi" w:hAnsiTheme="minorHAnsi" w:cstheme="minorBidi"/>
          <w:color w:val="auto"/>
          <w:sz w:val="22"/>
          <w:szCs w:val="22"/>
        </w:rPr>
        <w:t xml:space="preserve">enefit to ensure the most vulnerable families can access the income support payment if they meet the stringent criteria for </w:t>
      </w:r>
      <w:r w:rsidR="00E411A0">
        <w:rPr>
          <w:rFonts w:asciiTheme="minorHAnsi" w:eastAsiaTheme="minorHAnsi" w:hAnsiTheme="minorHAnsi" w:cstheme="minorBidi"/>
          <w:color w:val="auto"/>
          <w:sz w:val="22"/>
          <w:szCs w:val="22"/>
        </w:rPr>
        <w:t>S</w:t>
      </w:r>
      <w:r w:rsidR="004D6529">
        <w:rPr>
          <w:rFonts w:asciiTheme="minorHAnsi" w:eastAsiaTheme="minorHAnsi" w:hAnsiTheme="minorHAnsi" w:cstheme="minorBidi"/>
          <w:color w:val="auto"/>
          <w:sz w:val="22"/>
          <w:szCs w:val="22"/>
        </w:rPr>
        <w:t xml:space="preserve">pecial </w:t>
      </w:r>
      <w:r w:rsidR="00E411A0">
        <w:rPr>
          <w:rFonts w:asciiTheme="minorHAnsi" w:eastAsiaTheme="minorHAnsi" w:hAnsiTheme="minorHAnsi" w:cstheme="minorBidi"/>
          <w:color w:val="auto"/>
          <w:sz w:val="22"/>
          <w:szCs w:val="22"/>
        </w:rPr>
        <w:t>B</w:t>
      </w:r>
      <w:r w:rsidR="004D6529">
        <w:rPr>
          <w:rFonts w:asciiTheme="minorHAnsi" w:eastAsiaTheme="minorHAnsi" w:hAnsiTheme="minorHAnsi" w:cstheme="minorBidi"/>
          <w:color w:val="auto"/>
          <w:sz w:val="22"/>
          <w:szCs w:val="22"/>
        </w:rPr>
        <w:t xml:space="preserve">enefit. </w:t>
      </w:r>
      <w:r>
        <w:rPr>
          <w:rFonts w:asciiTheme="minorHAnsi" w:eastAsiaTheme="minorHAnsi" w:hAnsiTheme="minorHAnsi" w:cstheme="minorBidi"/>
          <w:color w:val="auto"/>
          <w:sz w:val="22"/>
          <w:szCs w:val="22"/>
        </w:rPr>
        <w:t xml:space="preserve"> </w:t>
      </w:r>
    </w:p>
    <w:p w:rsidR="00B5136A" w:rsidRDefault="00B5136A" w:rsidP="004D6529">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Bidi"/>
          <w:color w:val="auto"/>
          <w:sz w:val="22"/>
          <w:szCs w:val="22"/>
        </w:rPr>
      </w:pPr>
      <w:r w:rsidRPr="000966B1">
        <w:rPr>
          <w:rFonts w:asciiTheme="minorHAnsi" w:eastAsiaTheme="minorHAnsi" w:hAnsiTheme="minorHAnsi" w:cstheme="minorBidi"/>
          <w:b/>
          <w:color w:val="auto"/>
          <w:sz w:val="22"/>
          <w:szCs w:val="22"/>
        </w:rPr>
        <w:t>Recommendation</w:t>
      </w:r>
      <w:r w:rsidR="000966B1" w:rsidRPr="000966B1">
        <w:rPr>
          <w:rFonts w:asciiTheme="minorHAnsi" w:eastAsiaTheme="minorHAnsi" w:hAnsiTheme="minorHAnsi" w:cstheme="minorBidi"/>
          <w:b/>
          <w:color w:val="auto"/>
          <w:sz w:val="22"/>
          <w:szCs w:val="22"/>
        </w:rPr>
        <w:t xml:space="preserve"> #1</w:t>
      </w:r>
      <w:r w:rsidR="00FB139C">
        <w:rPr>
          <w:rFonts w:asciiTheme="minorHAnsi" w:eastAsiaTheme="minorHAnsi" w:hAnsiTheme="minorHAnsi" w:cstheme="minorBidi"/>
          <w:b/>
          <w:color w:val="auto"/>
          <w:sz w:val="22"/>
          <w:szCs w:val="22"/>
        </w:rPr>
        <w:t>2</w:t>
      </w:r>
      <w:r w:rsidRPr="000966B1">
        <w:rPr>
          <w:rFonts w:asciiTheme="minorHAnsi" w:eastAsiaTheme="minorHAnsi" w:hAnsiTheme="minorHAnsi" w:cstheme="minorBidi"/>
          <w:b/>
          <w:color w:val="auto"/>
          <w:sz w:val="22"/>
          <w:szCs w:val="22"/>
        </w:rPr>
        <w:t>:</w:t>
      </w:r>
      <w:r>
        <w:rPr>
          <w:rFonts w:asciiTheme="minorHAnsi" w:eastAsiaTheme="minorHAnsi" w:hAnsiTheme="minorHAnsi" w:cstheme="minorBidi"/>
          <w:color w:val="auto"/>
          <w:sz w:val="22"/>
          <w:szCs w:val="22"/>
        </w:rPr>
        <w:t xml:space="preserve"> Restore the exemption from the newly arrived residents waiting period for 309 and 820 visa holders for </w:t>
      </w:r>
      <w:r w:rsidR="00FB139C">
        <w:rPr>
          <w:rFonts w:asciiTheme="minorHAnsi" w:eastAsiaTheme="minorHAnsi" w:hAnsiTheme="minorHAnsi" w:cstheme="minorBidi"/>
          <w:color w:val="auto"/>
          <w:sz w:val="22"/>
          <w:szCs w:val="22"/>
        </w:rPr>
        <w:t>S</w:t>
      </w:r>
      <w:r>
        <w:rPr>
          <w:rFonts w:asciiTheme="minorHAnsi" w:eastAsiaTheme="minorHAnsi" w:hAnsiTheme="minorHAnsi" w:cstheme="minorBidi"/>
          <w:color w:val="auto"/>
          <w:sz w:val="22"/>
          <w:szCs w:val="22"/>
        </w:rPr>
        <w:t xml:space="preserve">pecial </w:t>
      </w:r>
      <w:r w:rsidR="00FB139C">
        <w:rPr>
          <w:rFonts w:asciiTheme="minorHAnsi" w:eastAsiaTheme="minorHAnsi" w:hAnsiTheme="minorHAnsi" w:cstheme="minorBidi"/>
          <w:color w:val="auto"/>
          <w:sz w:val="22"/>
          <w:szCs w:val="22"/>
        </w:rPr>
        <w:t>B</w:t>
      </w:r>
      <w:r>
        <w:rPr>
          <w:rFonts w:asciiTheme="minorHAnsi" w:eastAsiaTheme="minorHAnsi" w:hAnsiTheme="minorHAnsi" w:cstheme="minorBidi"/>
          <w:color w:val="auto"/>
          <w:sz w:val="22"/>
          <w:szCs w:val="22"/>
        </w:rPr>
        <w:t xml:space="preserve">enefit payment only. </w:t>
      </w:r>
    </w:p>
    <w:p w:rsidR="009F0604" w:rsidRDefault="009F0604" w:rsidP="00FB139C">
      <w:pPr>
        <w:pStyle w:val="Heading3"/>
        <w:rPr>
          <w:sz w:val="24"/>
          <w:szCs w:val="24"/>
        </w:rPr>
      </w:pPr>
    </w:p>
    <w:p w:rsidR="00FB139C" w:rsidRPr="00FE420F" w:rsidRDefault="00FB139C" w:rsidP="00FB139C">
      <w:pPr>
        <w:pStyle w:val="Heading3"/>
        <w:rPr>
          <w:sz w:val="24"/>
          <w:szCs w:val="24"/>
        </w:rPr>
      </w:pPr>
      <w:bookmarkStart w:id="15" w:name="_Toc379199691"/>
      <w:r w:rsidRPr="00FE420F">
        <w:rPr>
          <w:sz w:val="24"/>
          <w:szCs w:val="24"/>
        </w:rPr>
        <w:t xml:space="preserve">Extend Special Benefit to </w:t>
      </w:r>
      <w:r w:rsidR="001E73D9" w:rsidRPr="00FE420F">
        <w:rPr>
          <w:sz w:val="24"/>
          <w:szCs w:val="24"/>
        </w:rPr>
        <w:t>vulnerable</w:t>
      </w:r>
      <w:r w:rsidRPr="00FE420F">
        <w:rPr>
          <w:sz w:val="24"/>
          <w:szCs w:val="24"/>
        </w:rPr>
        <w:t xml:space="preserve"> New Zealanders</w:t>
      </w:r>
      <w:bookmarkEnd w:id="15"/>
    </w:p>
    <w:p w:rsidR="00FB139C" w:rsidRPr="008D6F44" w:rsidRDefault="00FB139C" w:rsidP="00FB139C">
      <w:pPr>
        <w:rPr>
          <w:lang w:eastAsia="en-AU"/>
        </w:rPr>
      </w:pPr>
    </w:p>
    <w:p w:rsidR="00FB139C" w:rsidRDefault="00FB139C" w:rsidP="00FB139C">
      <w:pPr>
        <w:rPr>
          <w:rFonts w:asciiTheme="minorHAnsi" w:hAnsiTheme="minorHAnsi" w:cstheme="minorHAnsi"/>
          <w:sz w:val="22"/>
          <w:szCs w:val="22"/>
        </w:rPr>
      </w:pPr>
      <w:r w:rsidRPr="008D6F44">
        <w:rPr>
          <w:rFonts w:asciiTheme="minorHAnsi" w:hAnsiTheme="minorHAnsi" w:cstheme="minorHAnsi"/>
          <w:sz w:val="22"/>
          <w:szCs w:val="22"/>
        </w:rPr>
        <w:t>New Zealander</w:t>
      </w:r>
      <w:r w:rsidR="0065374F">
        <w:rPr>
          <w:rFonts w:asciiTheme="minorHAnsi" w:hAnsiTheme="minorHAnsi" w:cstheme="minorHAnsi"/>
          <w:sz w:val="22"/>
          <w:szCs w:val="22"/>
        </w:rPr>
        <w:t xml:space="preserve"> citizens have access to</w:t>
      </w:r>
      <w:r w:rsidRPr="008D6F44">
        <w:rPr>
          <w:rFonts w:asciiTheme="minorHAnsi" w:hAnsiTheme="minorHAnsi" w:cstheme="minorHAnsi"/>
          <w:sz w:val="22"/>
          <w:szCs w:val="22"/>
        </w:rPr>
        <w:t xml:space="preserve"> family assistance payments</w:t>
      </w:r>
      <w:r w:rsidR="0065374F">
        <w:rPr>
          <w:rFonts w:asciiTheme="minorHAnsi" w:hAnsiTheme="minorHAnsi" w:cstheme="minorHAnsi"/>
          <w:sz w:val="22"/>
          <w:szCs w:val="22"/>
        </w:rPr>
        <w:t>. However, with limited exceptions, those</w:t>
      </w:r>
      <w:r w:rsidRPr="008D6F44">
        <w:rPr>
          <w:rFonts w:asciiTheme="minorHAnsi" w:hAnsiTheme="minorHAnsi" w:cstheme="minorHAnsi"/>
          <w:sz w:val="22"/>
          <w:szCs w:val="22"/>
        </w:rPr>
        <w:t xml:space="preserve"> </w:t>
      </w:r>
      <w:r w:rsidR="0065374F">
        <w:rPr>
          <w:rFonts w:asciiTheme="minorHAnsi" w:hAnsiTheme="minorHAnsi" w:cstheme="minorHAnsi"/>
          <w:sz w:val="22"/>
          <w:szCs w:val="22"/>
        </w:rPr>
        <w:t xml:space="preserve">who </w:t>
      </w:r>
      <w:r w:rsidRPr="008D6F44">
        <w:rPr>
          <w:rFonts w:asciiTheme="minorHAnsi" w:hAnsiTheme="minorHAnsi" w:cstheme="minorHAnsi"/>
          <w:sz w:val="22"/>
          <w:szCs w:val="22"/>
        </w:rPr>
        <w:t xml:space="preserve">arrived after 26 February 2001 </w:t>
      </w:r>
      <w:r w:rsidR="0065374F">
        <w:rPr>
          <w:rFonts w:asciiTheme="minorHAnsi" w:hAnsiTheme="minorHAnsi" w:cstheme="minorHAnsi"/>
          <w:sz w:val="22"/>
          <w:szCs w:val="22"/>
        </w:rPr>
        <w:t xml:space="preserve">cannot receive </w:t>
      </w:r>
      <w:r w:rsidRPr="008D6F44">
        <w:rPr>
          <w:rFonts w:asciiTheme="minorHAnsi" w:hAnsiTheme="minorHAnsi" w:cstheme="minorHAnsi"/>
          <w:sz w:val="22"/>
          <w:szCs w:val="22"/>
        </w:rPr>
        <w:t xml:space="preserve">income support payments unless they qualify for </w:t>
      </w:r>
      <w:r w:rsidR="001E73D9">
        <w:rPr>
          <w:rFonts w:asciiTheme="minorHAnsi" w:hAnsiTheme="minorHAnsi" w:cstheme="minorHAnsi"/>
          <w:sz w:val="22"/>
          <w:szCs w:val="22"/>
        </w:rPr>
        <w:t>A</w:t>
      </w:r>
      <w:r w:rsidRPr="008D6F44">
        <w:rPr>
          <w:rFonts w:asciiTheme="minorHAnsi" w:hAnsiTheme="minorHAnsi" w:cstheme="minorHAnsi"/>
          <w:sz w:val="22"/>
          <w:szCs w:val="22"/>
        </w:rPr>
        <w:t xml:space="preserve">ge </w:t>
      </w:r>
      <w:r w:rsidR="001E73D9">
        <w:rPr>
          <w:rFonts w:asciiTheme="minorHAnsi" w:hAnsiTheme="minorHAnsi" w:cstheme="minorHAnsi"/>
          <w:sz w:val="22"/>
          <w:szCs w:val="22"/>
        </w:rPr>
        <w:t xml:space="preserve">Pension </w:t>
      </w:r>
      <w:r w:rsidRPr="008D6F44">
        <w:rPr>
          <w:rFonts w:asciiTheme="minorHAnsi" w:hAnsiTheme="minorHAnsi" w:cstheme="minorHAnsi"/>
          <w:sz w:val="22"/>
          <w:szCs w:val="22"/>
        </w:rPr>
        <w:t xml:space="preserve">or </w:t>
      </w:r>
      <w:r w:rsidR="001E73D9">
        <w:rPr>
          <w:rFonts w:asciiTheme="minorHAnsi" w:hAnsiTheme="minorHAnsi" w:cstheme="minorHAnsi"/>
          <w:sz w:val="22"/>
          <w:szCs w:val="22"/>
        </w:rPr>
        <w:t>D</w:t>
      </w:r>
      <w:r w:rsidRPr="008D6F44">
        <w:rPr>
          <w:rFonts w:asciiTheme="minorHAnsi" w:hAnsiTheme="minorHAnsi" w:cstheme="minorHAnsi"/>
          <w:sz w:val="22"/>
          <w:szCs w:val="22"/>
        </w:rPr>
        <w:t xml:space="preserve">isability </w:t>
      </w:r>
      <w:r w:rsidR="001E73D9">
        <w:rPr>
          <w:rFonts w:asciiTheme="minorHAnsi" w:hAnsiTheme="minorHAnsi" w:cstheme="minorHAnsi"/>
          <w:sz w:val="22"/>
          <w:szCs w:val="22"/>
        </w:rPr>
        <w:t>Support P</w:t>
      </w:r>
      <w:r w:rsidRPr="008D6F44">
        <w:rPr>
          <w:rFonts w:asciiTheme="minorHAnsi" w:hAnsiTheme="minorHAnsi" w:cstheme="minorHAnsi"/>
          <w:sz w:val="22"/>
          <w:szCs w:val="22"/>
        </w:rPr>
        <w:t>ension under the International Agreement with New Zealand.</w:t>
      </w:r>
    </w:p>
    <w:p w:rsidR="00FB139C" w:rsidRPr="008D6F44" w:rsidRDefault="00FB139C" w:rsidP="00FB139C">
      <w:pPr>
        <w:rPr>
          <w:rFonts w:asciiTheme="minorHAnsi" w:hAnsiTheme="minorHAnsi" w:cstheme="minorHAnsi"/>
          <w:sz w:val="22"/>
          <w:szCs w:val="22"/>
        </w:rPr>
      </w:pPr>
    </w:p>
    <w:p w:rsidR="00FB139C" w:rsidRDefault="00FB139C" w:rsidP="00FB139C">
      <w:pPr>
        <w:rPr>
          <w:rFonts w:asciiTheme="minorHAnsi" w:hAnsiTheme="minorHAnsi" w:cstheme="minorHAnsi"/>
          <w:sz w:val="22"/>
          <w:szCs w:val="22"/>
        </w:rPr>
      </w:pPr>
      <w:r w:rsidRPr="008D6F44">
        <w:rPr>
          <w:rFonts w:asciiTheme="minorHAnsi" w:hAnsiTheme="minorHAnsi" w:cstheme="minorHAnsi"/>
          <w:sz w:val="22"/>
          <w:szCs w:val="22"/>
        </w:rPr>
        <w:t xml:space="preserve">There is a need to allow very limited access to </w:t>
      </w:r>
      <w:r>
        <w:rPr>
          <w:rFonts w:asciiTheme="minorHAnsi" w:hAnsiTheme="minorHAnsi" w:cstheme="minorHAnsi"/>
          <w:sz w:val="22"/>
          <w:szCs w:val="22"/>
        </w:rPr>
        <w:t>S</w:t>
      </w:r>
      <w:r w:rsidRPr="008D6F44">
        <w:rPr>
          <w:rFonts w:asciiTheme="minorHAnsi" w:hAnsiTheme="minorHAnsi" w:cstheme="minorHAnsi"/>
          <w:sz w:val="22"/>
          <w:szCs w:val="22"/>
        </w:rPr>
        <w:t xml:space="preserve">pecial </w:t>
      </w:r>
      <w:r>
        <w:rPr>
          <w:rFonts w:asciiTheme="minorHAnsi" w:hAnsiTheme="minorHAnsi" w:cstheme="minorHAnsi"/>
          <w:sz w:val="22"/>
          <w:szCs w:val="22"/>
        </w:rPr>
        <w:t>B</w:t>
      </w:r>
      <w:r w:rsidRPr="008D6F44">
        <w:rPr>
          <w:rFonts w:asciiTheme="minorHAnsi" w:hAnsiTheme="minorHAnsi" w:cstheme="minorHAnsi"/>
          <w:sz w:val="22"/>
          <w:szCs w:val="22"/>
        </w:rPr>
        <w:t>enefit for a small cohort of New Zealanders in dire circumstances.</w:t>
      </w:r>
    </w:p>
    <w:p w:rsidR="00FB139C" w:rsidRPr="008D6F44" w:rsidRDefault="00FB139C" w:rsidP="00FB139C">
      <w:pPr>
        <w:rPr>
          <w:rFonts w:asciiTheme="minorHAnsi" w:hAnsiTheme="minorHAnsi" w:cstheme="minorHAnsi"/>
          <w:sz w:val="22"/>
          <w:szCs w:val="22"/>
        </w:rPr>
      </w:pPr>
    </w:p>
    <w:p w:rsidR="00FB139C" w:rsidRDefault="00FB139C" w:rsidP="00FB139C">
      <w:pPr>
        <w:rPr>
          <w:rFonts w:asciiTheme="minorHAnsi" w:hAnsiTheme="minorHAnsi" w:cstheme="minorHAnsi"/>
          <w:sz w:val="22"/>
          <w:szCs w:val="22"/>
        </w:rPr>
      </w:pPr>
      <w:r w:rsidRPr="008D6F44">
        <w:rPr>
          <w:rFonts w:asciiTheme="minorHAnsi" w:hAnsiTheme="minorHAnsi" w:cstheme="minorHAnsi"/>
          <w:sz w:val="22"/>
          <w:szCs w:val="22"/>
        </w:rPr>
        <w:t xml:space="preserve">In rare cases a New Zealander may find themselves in desperate financial need in circumstances where it is not reasonable for them to return to New Zealand to access benefits there. For example, a young person who was brought to Australia by their parents as a child but who is forced to leave the family home </w:t>
      </w:r>
      <w:proofErr w:type="spellStart"/>
      <w:r w:rsidRPr="008D6F44">
        <w:rPr>
          <w:rFonts w:asciiTheme="minorHAnsi" w:hAnsiTheme="minorHAnsi" w:cstheme="minorHAnsi"/>
          <w:sz w:val="22"/>
          <w:szCs w:val="22"/>
        </w:rPr>
        <w:t>eg</w:t>
      </w:r>
      <w:proofErr w:type="spellEnd"/>
      <w:r w:rsidRPr="008D6F44">
        <w:rPr>
          <w:rFonts w:asciiTheme="minorHAnsi" w:hAnsiTheme="minorHAnsi" w:cstheme="minorHAnsi"/>
          <w:sz w:val="22"/>
          <w:szCs w:val="22"/>
        </w:rPr>
        <w:t xml:space="preserve"> due to extreme family breakdown. Such a person will have had no choice in the decision to move to Australia, and is likely to have all their support networks and schooling in Australia and no ties at all to New Zealand.</w:t>
      </w:r>
    </w:p>
    <w:p w:rsidR="001E73D9" w:rsidRPr="008D6F44" w:rsidRDefault="001E73D9" w:rsidP="00FB139C">
      <w:pPr>
        <w:rPr>
          <w:rFonts w:asciiTheme="minorHAnsi" w:hAnsiTheme="minorHAnsi" w:cstheme="minorHAnsi"/>
          <w:sz w:val="22"/>
          <w:szCs w:val="22"/>
        </w:rPr>
      </w:pPr>
    </w:p>
    <w:p w:rsidR="00FB139C" w:rsidRDefault="00FB139C" w:rsidP="00FB139C">
      <w:pPr>
        <w:rPr>
          <w:rFonts w:asciiTheme="minorHAnsi" w:hAnsiTheme="minorHAnsi" w:cstheme="minorHAnsi"/>
          <w:sz w:val="22"/>
          <w:szCs w:val="22"/>
        </w:rPr>
      </w:pPr>
      <w:r w:rsidRPr="008D6F44">
        <w:rPr>
          <w:rFonts w:asciiTheme="minorHAnsi" w:hAnsiTheme="minorHAnsi" w:cstheme="minorHAnsi"/>
          <w:sz w:val="22"/>
          <w:szCs w:val="22"/>
        </w:rPr>
        <w:t xml:space="preserve">New Zealanders who arrive in Australia after 26 February 2001 are generally here on a subclass 444 visa. The </w:t>
      </w:r>
      <w:r w:rsidR="0065374F">
        <w:rPr>
          <w:rFonts w:asciiTheme="minorHAnsi" w:hAnsiTheme="minorHAnsi" w:cstheme="minorHAnsi"/>
          <w:sz w:val="22"/>
          <w:szCs w:val="22"/>
        </w:rPr>
        <w:t>relevant M</w:t>
      </w:r>
      <w:r w:rsidRPr="008D6F44">
        <w:rPr>
          <w:rFonts w:asciiTheme="minorHAnsi" w:hAnsiTheme="minorHAnsi" w:cstheme="minorHAnsi"/>
          <w:sz w:val="22"/>
          <w:szCs w:val="22"/>
        </w:rPr>
        <w:t xml:space="preserve">inister has power to declare that visa as a visa which attracts </w:t>
      </w:r>
      <w:r>
        <w:rPr>
          <w:rFonts w:asciiTheme="minorHAnsi" w:hAnsiTheme="minorHAnsi" w:cstheme="minorHAnsi"/>
          <w:sz w:val="22"/>
          <w:szCs w:val="22"/>
        </w:rPr>
        <w:t>S</w:t>
      </w:r>
      <w:r w:rsidRPr="008D6F44">
        <w:rPr>
          <w:rFonts w:asciiTheme="minorHAnsi" w:hAnsiTheme="minorHAnsi" w:cstheme="minorHAnsi"/>
          <w:sz w:val="22"/>
          <w:szCs w:val="22"/>
        </w:rPr>
        <w:t xml:space="preserve">pecial </w:t>
      </w:r>
      <w:r>
        <w:rPr>
          <w:rFonts w:asciiTheme="minorHAnsi" w:hAnsiTheme="minorHAnsi" w:cstheme="minorHAnsi"/>
          <w:sz w:val="22"/>
          <w:szCs w:val="22"/>
        </w:rPr>
        <w:t>B</w:t>
      </w:r>
      <w:r w:rsidRPr="008D6F44">
        <w:rPr>
          <w:rFonts w:asciiTheme="minorHAnsi" w:hAnsiTheme="minorHAnsi" w:cstheme="minorHAnsi"/>
          <w:sz w:val="22"/>
          <w:szCs w:val="22"/>
        </w:rPr>
        <w:t>enefit and may in his determination limit the circumstances in which the visa will attract the payment.</w:t>
      </w:r>
    </w:p>
    <w:p w:rsidR="00FB139C" w:rsidRPr="008D6F44" w:rsidRDefault="00FB139C" w:rsidP="00FB139C">
      <w:pPr>
        <w:rPr>
          <w:rFonts w:asciiTheme="minorHAnsi" w:hAnsiTheme="minorHAnsi" w:cstheme="minorHAnsi"/>
          <w:sz w:val="22"/>
          <w:szCs w:val="22"/>
        </w:rPr>
      </w:pPr>
    </w:p>
    <w:p w:rsidR="00FB139C" w:rsidRDefault="00FB139C" w:rsidP="00FB139C">
      <w:pPr>
        <w:rPr>
          <w:rFonts w:asciiTheme="minorHAnsi" w:hAnsiTheme="minorHAnsi" w:cstheme="minorHAnsi"/>
          <w:sz w:val="22"/>
          <w:szCs w:val="22"/>
        </w:rPr>
      </w:pPr>
      <w:r w:rsidRPr="008D6F44">
        <w:rPr>
          <w:rFonts w:asciiTheme="minorHAnsi" w:hAnsiTheme="minorHAnsi" w:cstheme="minorHAnsi"/>
          <w:sz w:val="22"/>
          <w:szCs w:val="22"/>
        </w:rPr>
        <w:t>N</w:t>
      </w:r>
      <w:r w:rsidR="0065374F">
        <w:rPr>
          <w:rFonts w:asciiTheme="minorHAnsi" w:hAnsiTheme="minorHAnsi" w:cstheme="minorHAnsi"/>
          <w:sz w:val="22"/>
          <w:szCs w:val="22"/>
        </w:rPr>
        <w:t xml:space="preserve">WRN </w:t>
      </w:r>
      <w:r w:rsidRPr="008D6F44">
        <w:rPr>
          <w:rFonts w:asciiTheme="minorHAnsi" w:hAnsiTheme="minorHAnsi" w:cstheme="minorHAnsi"/>
          <w:sz w:val="22"/>
          <w:szCs w:val="22"/>
        </w:rPr>
        <w:t xml:space="preserve">anticipates that the number of grants would be </w:t>
      </w:r>
      <w:r w:rsidR="0094701C">
        <w:rPr>
          <w:rFonts w:asciiTheme="minorHAnsi" w:hAnsiTheme="minorHAnsi" w:cstheme="minorHAnsi"/>
          <w:sz w:val="22"/>
          <w:szCs w:val="22"/>
        </w:rPr>
        <w:t>low if our recommendation was adopted</w:t>
      </w:r>
      <w:r w:rsidR="009F0604">
        <w:rPr>
          <w:rFonts w:asciiTheme="minorHAnsi" w:hAnsiTheme="minorHAnsi" w:cstheme="minorHAnsi"/>
          <w:sz w:val="22"/>
          <w:szCs w:val="22"/>
        </w:rPr>
        <w:t>.</w:t>
      </w:r>
    </w:p>
    <w:p w:rsidR="009F0604" w:rsidRPr="008D6F44" w:rsidRDefault="009F0604" w:rsidP="00FB139C">
      <w:pPr>
        <w:rPr>
          <w:rFonts w:asciiTheme="minorHAnsi" w:hAnsiTheme="minorHAnsi" w:cstheme="minorHAnsi"/>
          <w:sz w:val="22"/>
          <w:szCs w:val="22"/>
        </w:rPr>
      </w:pPr>
    </w:p>
    <w:p w:rsidR="00FB139C" w:rsidRPr="008D6F44" w:rsidRDefault="00FB139C" w:rsidP="00FB139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8D6F44">
        <w:rPr>
          <w:rFonts w:asciiTheme="minorHAnsi" w:hAnsiTheme="minorHAnsi" w:cstheme="minorHAnsi"/>
          <w:b/>
          <w:sz w:val="22"/>
          <w:szCs w:val="22"/>
        </w:rPr>
        <w:t>Recommendation</w:t>
      </w:r>
      <w:r>
        <w:rPr>
          <w:rFonts w:asciiTheme="minorHAnsi" w:hAnsiTheme="minorHAnsi" w:cstheme="minorHAnsi"/>
          <w:b/>
          <w:sz w:val="22"/>
          <w:szCs w:val="22"/>
        </w:rPr>
        <w:t xml:space="preserve"> #13</w:t>
      </w:r>
      <w:r w:rsidRPr="008D6F44">
        <w:rPr>
          <w:rFonts w:asciiTheme="minorHAnsi" w:hAnsiTheme="minorHAnsi" w:cstheme="minorHAnsi"/>
          <w:b/>
          <w:sz w:val="22"/>
          <w:szCs w:val="22"/>
        </w:rPr>
        <w:t>:</w:t>
      </w:r>
      <w:r w:rsidRPr="008D6F44">
        <w:rPr>
          <w:rFonts w:asciiTheme="minorHAnsi" w:hAnsiTheme="minorHAnsi" w:cstheme="minorHAnsi"/>
          <w:sz w:val="22"/>
          <w:szCs w:val="22"/>
        </w:rPr>
        <w:t xml:space="preserve"> that the Minister for Social Services declare that visa subcategory 444 be declared as a visa eligible for </w:t>
      </w:r>
      <w:r>
        <w:rPr>
          <w:rFonts w:asciiTheme="minorHAnsi" w:hAnsiTheme="minorHAnsi" w:cstheme="minorHAnsi"/>
          <w:sz w:val="22"/>
          <w:szCs w:val="22"/>
        </w:rPr>
        <w:t>S</w:t>
      </w:r>
      <w:r w:rsidRPr="008D6F44">
        <w:rPr>
          <w:rFonts w:asciiTheme="minorHAnsi" w:hAnsiTheme="minorHAnsi" w:cstheme="minorHAnsi"/>
          <w:sz w:val="22"/>
          <w:szCs w:val="22"/>
        </w:rPr>
        <w:t xml:space="preserve">pecial </w:t>
      </w:r>
      <w:r>
        <w:rPr>
          <w:rFonts w:asciiTheme="minorHAnsi" w:hAnsiTheme="minorHAnsi" w:cstheme="minorHAnsi"/>
          <w:sz w:val="22"/>
          <w:szCs w:val="22"/>
        </w:rPr>
        <w:t>B</w:t>
      </w:r>
      <w:r w:rsidRPr="008D6F44">
        <w:rPr>
          <w:rFonts w:asciiTheme="minorHAnsi" w:hAnsiTheme="minorHAnsi" w:cstheme="minorHAnsi"/>
          <w:sz w:val="22"/>
          <w:szCs w:val="22"/>
        </w:rPr>
        <w:t xml:space="preserve">enefit if there are special circumstances and it would be unreasonable to expect the person to return to New Zealand to access benefits there. </w:t>
      </w:r>
    </w:p>
    <w:p w:rsidR="00B5136A" w:rsidRPr="00FE420F" w:rsidRDefault="007603C5" w:rsidP="004D6529">
      <w:pPr>
        <w:pStyle w:val="Heading3"/>
        <w:rPr>
          <w:rFonts w:eastAsiaTheme="minorHAnsi"/>
          <w:sz w:val="24"/>
          <w:szCs w:val="24"/>
        </w:rPr>
      </w:pPr>
      <w:bookmarkStart w:id="16" w:name="_Toc379199692"/>
      <w:r w:rsidRPr="00FE420F">
        <w:rPr>
          <w:rFonts w:eastAsiaTheme="minorHAnsi"/>
          <w:sz w:val="24"/>
          <w:szCs w:val="24"/>
        </w:rPr>
        <w:t xml:space="preserve">Fairer </w:t>
      </w:r>
      <w:r w:rsidR="004D6529" w:rsidRPr="00FE420F">
        <w:rPr>
          <w:rFonts w:eastAsiaTheme="minorHAnsi"/>
          <w:sz w:val="24"/>
          <w:szCs w:val="24"/>
        </w:rPr>
        <w:t xml:space="preserve">compensation preclusion </w:t>
      </w:r>
      <w:r w:rsidRPr="00FE420F">
        <w:rPr>
          <w:rFonts w:eastAsiaTheme="minorHAnsi"/>
          <w:sz w:val="24"/>
          <w:szCs w:val="24"/>
        </w:rPr>
        <w:t>rules</w:t>
      </w:r>
      <w:bookmarkEnd w:id="16"/>
    </w:p>
    <w:p w:rsidR="00756044" w:rsidRPr="000966B1" w:rsidRDefault="004D6529" w:rsidP="004D6529">
      <w:pPr>
        <w:pStyle w:val="NormalWeb1"/>
        <w:rPr>
          <w:sz w:val="22"/>
          <w:szCs w:val="22"/>
        </w:rPr>
      </w:pPr>
      <w:r w:rsidRPr="000966B1">
        <w:rPr>
          <w:sz w:val="22"/>
          <w:szCs w:val="22"/>
        </w:rPr>
        <w:t>A person who receives a lump sum compensation payment will generally have to serve a lengthy period during which they cannot access income support payments (a compensation preclusion period).</w:t>
      </w:r>
    </w:p>
    <w:p w:rsidR="004D6529" w:rsidRPr="000966B1" w:rsidRDefault="004D6529" w:rsidP="004D6529">
      <w:pPr>
        <w:pStyle w:val="NormalWeb1"/>
        <w:rPr>
          <w:sz w:val="22"/>
          <w:szCs w:val="22"/>
        </w:rPr>
      </w:pPr>
      <w:r w:rsidRPr="000966B1">
        <w:rPr>
          <w:sz w:val="22"/>
          <w:szCs w:val="22"/>
        </w:rPr>
        <w:t>The period is calculated by div</w:t>
      </w:r>
      <w:r w:rsidR="000966B1">
        <w:rPr>
          <w:sz w:val="22"/>
          <w:szCs w:val="22"/>
        </w:rPr>
        <w:t>id</w:t>
      </w:r>
      <w:r w:rsidRPr="000966B1">
        <w:rPr>
          <w:sz w:val="22"/>
          <w:szCs w:val="22"/>
        </w:rPr>
        <w:t>ing the compensation amount by the weekly pension cut off amount, which is regularly indexed.</w:t>
      </w:r>
    </w:p>
    <w:p w:rsidR="004D6529" w:rsidRPr="000966B1" w:rsidRDefault="004D6529" w:rsidP="004D6529">
      <w:pPr>
        <w:pStyle w:val="NormalWeb1"/>
        <w:rPr>
          <w:sz w:val="22"/>
          <w:szCs w:val="22"/>
        </w:rPr>
      </w:pPr>
      <w:r w:rsidRPr="000966B1">
        <w:rPr>
          <w:sz w:val="22"/>
          <w:szCs w:val="22"/>
        </w:rPr>
        <w:t>However, this calculation is only done once at the beginning of the period. A person with a long preclusion period can be severely disadvantaged as the pension cut</w:t>
      </w:r>
      <w:r w:rsidR="007603C5">
        <w:rPr>
          <w:sz w:val="22"/>
          <w:szCs w:val="22"/>
        </w:rPr>
        <w:t>-</w:t>
      </w:r>
      <w:r w:rsidRPr="000966B1">
        <w:rPr>
          <w:sz w:val="22"/>
          <w:szCs w:val="22"/>
        </w:rPr>
        <w:t xml:space="preserve">off rises, but their compensation preclusion period remains unchanged. Preclusion periods can last for decades, depending on the amount of compensation. Particularly affected are people who had their preclusion periods calculated prior to the pension reforms of 2007. Such people have significantly longer preclusion period than those who received their compensation after the divisor increased significantly after those reforms. </w:t>
      </w:r>
    </w:p>
    <w:p w:rsidR="009F6CA2" w:rsidRPr="000966B1" w:rsidRDefault="009F6CA2" w:rsidP="004D6529">
      <w:pPr>
        <w:pStyle w:val="NormalWeb1"/>
        <w:rPr>
          <w:sz w:val="22"/>
          <w:szCs w:val="22"/>
        </w:rPr>
      </w:pPr>
      <w:r w:rsidRPr="000966B1">
        <w:rPr>
          <w:sz w:val="22"/>
          <w:szCs w:val="22"/>
        </w:rPr>
        <w:t xml:space="preserve">A second issue is the treatment of legal costs. A person whose settlement is inclusive of costs is disadvantaged over a person whose settlement is exclusive of legal costs, because the former has their legal costs included in the gross lump sum used to calculate the preclusion period whereas the latter does not. </w:t>
      </w:r>
    </w:p>
    <w:p w:rsidR="009F6CA2" w:rsidRPr="000966B1" w:rsidRDefault="009F6CA2" w:rsidP="004D6529">
      <w:pPr>
        <w:pStyle w:val="NormalWeb1"/>
        <w:rPr>
          <w:sz w:val="22"/>
          <w:szCs w:val="22"/>
        </w:rPr>
      </w:pPr>
      <w:r w:rsidRPr="000966B1">
        <w:rPr>
          <w:sz w:val="22"/>
          <w:szCs w:val="22"/>
        </w:rPr>
        <w:t xml:space="preserve">Moreover, in our experience, legal costs can vary significantly, from roughly 7% of the lump sum to 40%. </w:t>
      </w:r>
    </w:p>
    <w:p w:rsidR="009F6CA2" w:rsidRPr="000966B1" w:rsidRDefault="009F6CA2" w:rsidP="004D6529">
      <w:pPr>
        <w:pStyle w:val="NormalWeb1"/>
        <w:rPr>
          <w:sz w:val="22"/>
          <w:szCs w:val="22"/>
        </w:rPr>
      </w:pPr>
      <w:r w:rsidRPr="000966B1">
        <w:rPr>
          <w:sz w:val="22"/>
          <w:szCs w:val="22"/>
        </w:rPr>
        <w:t>Removing legal costs from the calculation of the preclusion period would create equity and fairness in the treatment of compensation.</w:t>
      </w:r>
    </w:p>
    <w:p w:rsidR="009F6CA2" w:rsidRDefault="009F6CA2" w:rsidP="009F6CA2">
      <w:pPr>
        <w:pStyle w:val="NormalWeb1"/>
        <w:pBdr>
          <w:top w:val="single" w:sz="4" w:space="1" w:color="auto"/>
          <w:left w:val="single" w:sz="4" w:space="4" w:color="auto"/>
          <w:bottom w:val="single" w:sz="4" w:space="1" w:color="auto"/>
          <w:right w:val="single" w:sz="4" w:space="4" w:color="auto"/>
        </w:pBdr>
      </w:pPr>
      <w:r w:rsidRPr="000966B1">
        <w:rPr>
          <w:b/>
          <w:sz w:val="22"/>
          <w:szCs w:val="22"/>
        </w:rPr>
        <w:t>Recommendation #</w:t>
      </w:r>
      <w:r w:rsidR="000966B1" w:rsidRPr="000966B1">
        <w:rPr>
          <w:b/>
          <w:sz w:val="22"/>
          <w:szCs w:val="22"/>
        </w:rPr>
        <w:t>14</w:t>
      </w:r>
      <w:r w:rsidRPr="000966B1">
        <w:rPr>
          <w:b/>
          <w:sz w:val="22"/>
          <w:szCs w:val="22"/>
        </w:rPr>
        <w:t>:</w:t>
      </w:r>
      <w:r w:rsidRPr="000966B1">
        <w:rPr>
          <w:sz w:val="22"/>
          <w:szCs w:val="22"/>
        </w:rPr>
        <w:t xml:space="preserve">  </w:t>
      </w:r>
      <w:r w:rsidR="007F7F47">
        <w:rPr>
          <w:sz w:val="22"/>
          <w:szCs w:val="22"/>
        </w:rPr>
        <w:t>A</w:t>
      </w:r>
      <w:r w:rsidRPr="000966B1">
        <w:rPr>
          <w:sz w:val="22"/>
          <w:szCs w:val="22"/>
        </w:rPr>
        <w:t>mend the provisions for calculating preclusion periods so that they are recalculated when the pension cut</w:t>
      </w:r>
      <w:r w:rsidR="007F7F47">
        <w:rPr>
          <w:sz w:val="22"/>
          <w:szCs w:val="22"/>
        </w:rPr>
        <w:t>-</w:t>
      </w:r>
      <w:r w:rsidRPr="000966B1">
        <w:rPr>
          <w:sz w:val="22"/>
          <w:szCs w:val="22"/>
        </w:rPr>
        <w:t>off is indexed, and to exclude legal costs from the gross lump sum used to calculate the preclusion period</w:t>
      </w:r>
      <w:r>
        <w:t>.</w:t>
      </w:r>
    </w:p>
    <w:p w:rsidR="003935AE" w:rsidRPr="00FE420F" w:rsidRDefault="00D4502E" w:rsidP="003075EF">
      <w:pPr>
        <w:pStyle w:val="Heading3"/>
        <w:rPr>
          <w:sz w:val="24"/>
          <w:szCs w:val="24"/>
        </w:rPr>
      </w:pPr>
      <w:bookmarkStart w:id="17" w:name="_Toc379199693"/>
      <w:r w:rsidRPr="00FE420F">
        <w:rPr>
          <w:sz w:val="24"/>
          <w:szCs w:val="24"/>
        </w:rPr>
        <w:t xml:space="preserve">Extend </w:t>
      </w:r>
      <w:r w:rsidR="009F6CA2" w:rsidRPr="00FE420F">
        <w:rPr>
          <w:sz w:val="24"/>
          <w:szCs w:val="24"/>
        </w:rPr>
        <w:t>exemption</w:t>
      </w:r>
      <w:r w:rsidRPr="00FE420F">
        <w:rPr>
          <w:sz w:val="24"/>
          <w:szCs w:val="24"/>
        </w:rPr>
        <w:t>s</w:t>
      </w:r>
      <w:r w:rsidR="009F6CA2" w:rsidRPr="00FE420F">
        <w:rPr>
          <w:sz w:val="24"/>
          <w:szCs w:val="24"/>
        </w:rPr>
        <w:t xml:space="preserve"> from the </w:t>
      </w:r>
      <w:r w:rsidR="007F7F47" w:rsidRPr="00FE420F">
        <w:rPr>
          <w:sz w:val="24"/>
          <w:szCs w:val="24"/>
        </w:rPr>
        <w:t>‘</w:t>
      </w:r>
      <w:r w:rsidR="009F6CA2" w:rsidRPr="00FE420F">
        <w:rPr>
          <w:sz w:val="24"/>
          <w:szCs w:val="24"/>
        </w:rPr>
        <w:t>program of support</w:t>
      </w:r>
      <w:r w:rsidR="007F7F47" w:rsidRPr="00FE420F">
        <w:rPr>
          <w:sz w:val="24"/>
          <w:szCs w:val="24"/>
        </w:rPr>
        <w:t>’</w:t>
      </w:r>
      <w:r w:rsidR="009F6CA2" w:rsidRPr="00FE420F">
        <w:rPr>
          <w:sz w:val="24"/>
          <w:szCs w:val="24"/>
        </w:rPr>
        <w:t xml:space="preserve"> rules</w:t>
      </w:r>
      <w:bookmarkEnd w:id="17"/>
      <w:r w:rsidR="009F6CA2" w:rsidRPr="00FE420F">
        <w:rPr>
          <w:sz w:val="24"/>
          <w:szCs w:val="24"/>
        </w:rPr>
        <w:t xml:space="preserve"> </w:t>
      </w:r>
    </w:p>
    <w:p w:rsidR="007F7F47" w:rsidRPr="003075EF" w:rsidRDefault="007F7F47">
      <w:pPr>
        <w:rPr>
          <w:lang w:eastAsia="en-AU"/>
        </w:rPr>
      </w:pPr>
    </w:p>
    <w:p w:rsidR="003935AE" w:rsidRPr="00D4502E" w:rsidRDefault="007F7F47" w:rsidP="003935AE">
      <w:pPr>
        <w:rPr>
          <w:rFonts w:asciiTheme="minorHAnsi" w:hAnsiTheme="minorHAnsi" w:cstheme="minorHAnsi"/>
          <w:color w:val="auto"/>
          <w:sz w:val="22"/>
          <w:szCs w:val="22"/>
        </w:rPr>
      </w:pPr>
      <w:r>
        <w:rPr>
          <w:rFonts w:asciiTheme="minorHAnsi" w:hAnsiTheme="minorHAnsi" w:cstheme="minorHAnsi"/>
          <w:color w:val="auto"/>
          <w:sz w:val="22"/>
          <w:szCs w:val="22"/>
        </w:rPr>
        <w:t>Since 2011,</w:t>
      </w:r>
      <w:r w:rsidRPr="00D4502E">
        <w:rPr>
          <w:rFonts w:asciiTheme="minorHAnsi" w:hAnsiTheme="minorHAnsi" w:cstheme="minorHAnsi"/>
          <w:color w:val="auto"/>
          <w:sz w:val="22"/>
          <w:szCs w:val="22"/>
        </w:rPr>
        <w:t xml:space="preserve"> </w:t>
      </w:r>
      <w:r w:rsidR="0094701C">
        <w:rPr>
          <w:rFonts w:asciiTheme="minorHAnsi" w:hAnsiTheme="minorHAnsi" w:cstheme="minorHAnsi"/>
          <w:color w:val="auto"/>
          <w:sz w:val="22"/>
          <w:szCs w:val="22"/>
        </w:rPr>
        <w:t xml:space="preserve">some </w:t>
      </w:r>
      <w:r w:rsidR="003935AE" w:rsidRPr="00D4502E">
        <w:rPr>
          <w:rFonts w:asciiTheme="minorHAnsi" w:hAnsiTheme="minorHAnsi" w:cstheme="minorHAnsi"/>
          <w:color w:val="auto"/>
          <w:sz w:val="22"/>
          <w:szCs w:val="22"/>
        </w:rPr>
        <w:t xml:space="preserve">new </w:t>
      </w:r>
      <w:r>
        <w:rPr>
          <w:rFonts w:asciiTheme="minorHAnsi" w:hAnsiTheme="minorHAnsi" w:cstheme="minorHAnsi"/>
          <w:color w:val="auto"/>
          <w:sz w:val="22"/>
          <w:szCs w:val="22"/>
        </w:rPr>
        <w:t>D</w:t>
      </w:r>
      <w:r w:rsidR="003935AE" w:rsidRPr="00D4502E">
        <w:rPr>
          <w:rFonts w:asciiTheme="minorHAnsi" w:hAnsiTheme="minorHAnsi" w:cstheme="minorHAnsi"/>
          <w:color w:val="auto"/>
          <w:sz w:val="22"/>
          <w:szCs w:val="22"/>
        </w:rPr>
        <w:t xml:space="preserve">isability </w:t>
      </w:r>
      <w:r>
        <w:rPr>
          <w:rFonts w:asciiTheme="minorHAnsi" w:hAnsiTheme="minorHAnsi" w:cstheme="minorHAnsi"/>
          <w:color w:val="auto"/>
          <w:sz w:val="22"/>
          <w:szCs w:val="22"/>
        </w:rPr>
        <w:t>S</w:t>
      </w:r>
      <w:r w:rsidR="003935AE" w:rsidRPr="00D4502E">
        <w:rPr>
          <w:rFonts w:asciiTheme="minorHAnsi" w:hAnsiTheme="minorHAnsi" w:cstheme="minorHAnsi"/>
          <w:color w:val="auto"/>
          <w:sz w:val="22"/>
          <w:szCs w:val="22"/>
        </w:rPr>
        <w:t xml:space="preserve">upport </w:t>
      </w:r>
      <w:r>
        <w:rPr>
          <w:rFonts w:asciiTheme="minorHAnsi" w:hAnsiTheme="minorHAnsi" w:cstheme="minorHAnsi"/>
          <w:color w:val="auto"/>
          <w:sz w:val="22"/>
          <w:szCs w:val="22"/>
        </w:rPr>
        <w:t>P</w:t>
      </w:r>
      <w:r w:rsidR="003935AE" w:rsidRPr="00D4502E">
        <w:rPr>
          <w:rFonts w:asciiTheme="minorHAnsi" w:hAnsiTheme="minorHAnsi" w:cstheme="minorHAnsi"/>
          <w:color w:val="auto"/>
          <w:sz w:val="22"/>
          <w:szCs w:val="22"/>
        </w:rPr>
        <w:t xml:space="preserve">ension claimants are required to show that they meet the “program of support” rules which generally require new claimants to participate in a program of support for 18 months.  In practice, most people will meet this requirement by undertaking activities through their employment services provider while on </w:t>
      </w:r>
      <w:r>
        <w:rPr>
          <w:rFonts w:asciiTheme="minorHAnsi" w:hAnsiTheme="minorHAnsi" w:cstheme="minorHAnsi"/>
          <w:color w:val="auto"/>
          <w:sz w:val="22"/>
          <w:szCs w:val="22"/>
        </w:rPr>
        <w:t>N</w:t>
      </w:r>
      <w:r w:rsidR="003935AE" w:rsidRPr="00D4502E">
        <w:rPr>
          <w:rFonts w:asciiTheme="minorHAnsi" w:hAnsiTheme="minorHAnsi" w:cstheme="minorHAnsi"/>
          <w:color w:val="auto"/>
          <w:sz w:val="22"/>
          <w:szCs w:val="22"/>
        </w:rPr>
        <w:t xml:space="preserve">ewstart </w:t>
      </w:r>
      <w:r>
        <w:rPr>
          <w:rFonts w:asciiTheme="minorHAnsi" w:hAnsiTheme="minorHAnsi" w:cstheme="minorHAnsi"/>
          <w:color w:val="auto"/>
          <w:sz w:val="22"/>
          <w:szCs w:val="22"/>
        </w:rPr>
        <w:t>A</w:t>
      </w:r>
      <w:r w:rsidR="003935AE" w:rsidRPr="00D4502E">
        <w:rPr>
          <w:rFonts w:asciiTheme="minorHAnsi" w:hAnsiTheme="minorHAnsi" w:cstheme="minorHAnsi"/>
          <w:color w:val="auto"/>
          <w:sz w:val="22"/>
          <w:szCs w:val="22"/>
        </w:rPr>
        <w:t>llowance.</w:t>
      </w:r>
    </w:p>
    <w:p w:rsidR="003935AE" w:rsidRPr="00D4502E" w:rsidRDefault="003935AE" w:rsidP="003935AE">
      <w:pPr>
        <w:rPr>
          <w:rFonts w:asciiTheme="minorHAnsi" w:hAnsiTheme="minorHAnsi" w:cstheme="minorHAnsi"/>
          <w:color w:val="auto"/>
          <w:sz w:val="22"/>
          <w:szCs w:val="22"/>
        </w:rPr>
      </w:pPr>
    </w:p>
    <w:p w:rsidR="00D4502E" w:rsidRPr="00D4502E" w:rsidRDefault="003935AE" w:rsidP="003935AE">
      <w:pPr>
        <w:rPr>
          <w:rFonts w:asciiTheme="minorHAnsi" w:hAnsiTheme="minorHAnsi" w:cstheme="minorHAnsi"/>
          <w:color w:val="auto"/>
          <w:sz w:val="22"/>
          <w:szCs w:val="22"/>
        </w:rPr>
      </w:pPr>
      <w:r w:rsidRPr="00D4502E">
        <w:rPr>
          <w:rFonts w:asciiTheme="minorHAnsi" w:hAnsiTheme="minorHAnsi" w:cstheme="minorHAnsi"/>
          <w:color w:val="auto"/>
          <w:sz w:val="22"/>
          <w:szCs w:val="22"/>
        </w:rPr>
        <w:t xml:space="preserve">There are exemptions from the program of support rules, including for people with a severe disability </w:t>
      </w:r>
      <w:r w:rsidR="00D4502E" w:rsidRPr="00D4502E">
        <w:rPr>
          <w:rFonts w:asciiTheme="minorHAnsi" w:hAnsiTheme="minorHAnsi" w:cstheme="minorHAnsi"/>
          <w:color w:val="auto"/>
          <w:sz w:val="22"/>
          <w:szCs w:val="22"/>
        </w:rPr>
        <w:t>(</w:t>
      </w:r>
      <w:r w:rsidRPr="00D4502E">
        <w:rPr>
          <w:rFonts w:asciiTheme="minorHAnsi" w:hAnsiTheme="minorHAnsi" w:cstheme="minorHAnsi"/>
          <w:color w:val="auto"/>
          <w:sz w:val="22"/>
          <w:szCs w:val="22"/>
        </w:rPr>
        <w:t>resulting in 20 points from one condition</w:t>
      </w:r>
      <w:r w:rsidR="00D4502E" w:rsidRPr="00D4502E">
        <w:rPr>
          <w:rFonts w:asciiTheme="minorHAnsi" w:hAnsiTheme="minorHAnsi" w:cstheme="minorHAnsi"/>
          <w:color w:val="auto"/>
          <w:sz w:val="22"/>
          <w:szCs w:val="22"/>
        </w:rPr>
        <w:t>)</w:t>
      </w:r>
      <w:r w:rsidRPr="00D4502E">
        <w:rPr>
          <w:rFonts w:asciiTheme="minorHAnsi" w:hAnsiTheme="minorHAnsi" w:cstheme="minorHAnsi"/>
          <w:color w:val="auto"/>
          <w:sz w:val="22"/>
          <w:szCs w:val="22"/>
        </w:rPr>
        <w:t xml:space="preserve">.  </w:t>
      </w:r>
      <w:r w:rsidR="00FE420F" w:rsidRPr="00D4502E">
        <w:rPr>
          <w:rFonts w:asciiTheme="minorHAnsi" w:hAnsiTheme="minorHAnsi" w:cstheme="minorHAnsi"/>
          <w:color w:val="auto"/>
          <w:sz w:val="22"/>
          <w:szCs w:val="22"/>
        </w:rPr>
        <w:t>Howeve</w:t>
      </w:r>
      <w:r w:rsidR="00FE420F">
        <w:rPr>
          <w:rFonts w:asciiTheme="minorHAnsi" w:hAnsiTheme="minorHAnsi" w:cstheme="minorHAnsi"/>
          <w:color w:val="auto"/>
          <w:sz w:val="22"/>
          <w:szCs w:val="22"/>
        </w:rPr>
        <w:t>r</w:t>
      </w:r>
      <w:r w:rsidRPr="00D4502E">
        <w:rPr>
          <w:rFonts w:asciiTheme="minorHAnsi" w:hAnsiTheme="minorHAnsi" w:cstheme="minorHAnsi"/>
          <w:color w:val="auto"/>
          <w:sz w:val="22"/>
          <w:szCs w:val="22"/>
        </w:rPr>
        <w:t xml:space="preserve"> unless you have severe disability, there is no exemption which can apply to someone who has never previously been in a program of support </w:t>
      </w:r>
      <w:r w:rsidRPr="00D4502E">
        <w:rPr>
          <w:rFonts w:asciiTheme="minorHAnsi" w:hAnsiTheme="minorHAnsi" w:cstheme="minorHAnsi"/>
          <w:b/>
          <w:color w:val="auto"/>
          <w:sz w:val="22"/>
          <w:szCs w:val="22"/>
        </w:rPr>
        <w:t>when they claim</w:t>
      </w:r>
      <w:r w:rsidRPr="00D4502E">
        <w:rPr>
          <w:rFonts w:asciiTheme="minorHAnsi" w:hAnsiTheme="minorHAnsi" w:cstheme="minorHAnsi"/>
          <w:color w:val="auto"/>
          <w:sz w:val="22"/>
          <w:szCs w:val="22"/>
        </w:rPr>
        <w:t xml:space="preserve"> the pension</w:t>
      </w:r>
      <w:r w:rsidR="00D4502E" w:rsidRPr="00D4502E">
        <w:rPr>
          <w:rFonts w:asciiTheme="minorHAnsi" w:hAnsiTheme="minorHAnsi" w:cstheme="minorHAnsi"/>
          <w:color w:val="auto"/>
          <w:sz w:val="22"/>
          <w:szCs w:val="22"/>
        </w:rPr>
        <w:t>, even if they are incapable of benefitting from a program of support</w:t>
      </w:r>
      <w:r w:rsidRPr="00D4502E">
        <w:rPr>
          <w:rFonts w:asciiTheme="minorHAnsi" w:hAnsiTheme="minorHAnsi" w:cstheme="minorHAnsi"/>
          <w:color w:val="auto"/>
          <w:sz w:val="22"/>
          <w:szCs w:val="22"/>
        </w:rPr>
        <w:t xml:space="preserve">.  </w:t>
      </w:r>
    </w:p>
    <w:p w:rsidR="00D4502E" w:rsidRPr="00D4502E" w:rsidRDefault="00D4502E" w:rsidP="003935AE">
      <w:pPr>
        <w:rPr>
          <w:rFonts w:asciiTheme="minorHAnsi" w:hAnsiTheme="minorHAnsi" w:cstheme="minorHAnsi"/>
          <w:color w:val="auto"/>
          <w:sz w:val="22"/>
          <w:szCs w:val="22"/>
        </w:rPr>
      </w:pPr>
    </w:p>
    <w:p w:rsidR="003935AE" w:rsidRPr="00D4502E" w:rsidRDefault="003935AE" w:rsidP="003935AE">
      <w:pPr>
        <w:rPr>
          <w:rFonts w:asciiTheme="minorHAnsi" w:hAnsiTheme="minorHAnsi" w:cstheme="minorHAnsi"/>
          <w:color w:val="auto"/>
          <w:sz w:val="22"/>
          <w:szCs w:val="22"/>
        </w:rPr>
      </w:pPr>
      <w:r w:rsidRPr="00D4502E">
        <w:rPr>
          <w:rFonts w:asciiTheme="minorHAnsi" w:hAnsiTheme="minorHAnsi" w:cstheme="minorHAnsi"/>
          <w:color w:val="auto"/>
          <w:sz w:val="22"/>
          <w:szCs w:val="22"/>
        </w:rPr>
        <w:t>This has an unfair impact on people who fall seriously ill or are injured, claim the pension and find it difficult to even participate in a program, let alone benefit from it.</w:t>
      </w:r>
    </w:p>
    <w:p w:rsidR="009F6CA2" w:rsidRPr="00D4502E" w:rsidRDefault="009F6CA2" w:rsidP="009F6CA2">
      <w:pPr>
        <w:rPr>
          <w:rFonts w:asciiTheme="minorHAnsi" w:hAnsiTheme="minorHAnsi" w:cstheme="minorHAnsi"/>
          <w:color w:val="auto"/>
          <w:sz w:val="22"/>
          <w:szCs w:val="22"/>
          <w:lang w:eastAsia="en-AU"/>
        </w:rPr>
      </w:pPr>
    </w:p>
    <w:p w:rsidR="00D4502E" w:rsidRPr="00D4502E" w:rsidRDefault="00D4502E" w:rsidP="00D4502E">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lang w:eastAsia="en-AU"/>
        </w:rPr>
      </w:pPr>
      <w:r w:rsidRPr="00D4502E">
        <w:rPr>
          <w:rFonts w:asciiTheme="minorHAnsi" w:hAnsiTheme="minorHAnsi" w:cstheme="minorHAnsi"/>
          <w:b/>
          <w:color w:val="auto"/>
          <w:sz w:val="22"/>
          <w:szCs w:val="22"/>
          <w:lang w:eastAsia="en-AU"/>
        </w:rPr>
        <w:t>Recommendation</w:t>
      </w:r>
      <w:r w:rsidRPr="000966B1">
        <w:rPr>
          <w:rFonts w:asciiTheme="minorHAnsi" w:hAnsiTheme="minorHAnsi" w:cstheme="minorHAnsi"/>
          <w:b/>
          <w:color w:val="auto"/>
          <w:sz w:val="22"/>
          <w:szCs w:val="22"/>
          <w:lang w:eastAsia="en-AU"/>
        </w:rPr>
        <w:t xml:space="preserve"> #</w:t>
      </w:r>
      <w:r w:rsidR="000966B1" w:rsidRPr="000966B1">
        <w:rPr>
          <w:rFonts w:asciiTheme="minorHAnsi" w:hAnsiTheme="minorHAnsi" w:cstheme="minorHAnsi"/>
          <w:b/>
          <w:color w:val="auto"/>
          <w:sz w:val="22"/>
          <w:szCs w:val="22"/>
          <w:lang w:eastAsia="en-AU"/>
        </w:rPr>
        <w:t>15:</w:t>
      </w:r>
      <w:r w:rsidRPr="00D4502E">
        <w:rPr>
          <w:rFonts w:asciiTheme="minorHAnsi" w:hAnsiTheme="minorHAnsi" w:cstheme="minorHAnsi"/>
          <w:color w:val="auto"/>
          <w:sz w:val="22"/>
          <w:szCs w:val="22"/>
          <w:lang w:eastAsia="en-AU"/>
        </w:rPr>
        <w:t xml:space="preserve"> Extend the current exemptions from the program of support rules to people incapable of benefitting from participation, irrespective of whether they had participated in a </w:t>
      </w:r>
      <w:r w:rsidR="007F7F47">
        <w:rPr>
          <w:rFonts w:asciiTheme="minorHAnsi" w:hAnsiTheme="minorHAnsi" w:cstheme="minorHAnsi"/>
          <w:color w:val="auto"/>
          <w:sz w:val="22"/>
          <w:szCs w:val="22"/>
          <w:lang w:eastAsia="en-AU"/>
        </w:rPr>
        <w:t>‘</w:t>
      </w:r>
      <w:r w:rsidRPr="00D4502E">
        <w:rPr>
          <w:rFonts w:asciiTheme="minorHAnsi" w:hAnsiTheme="minorHAnsi" w:cstheme="minorHAnsi"/>
          <w:color w:val="auto"/>
          <w:sz w:val="22"/>
          <w:szCs w:val="22"/>
          <w:lang w:eastAsia="en-AU"/>
        </w:rPr>
        <w:t>program of support</w:t>
      </w:r>
      <w:r w:rsidR="007F7F47">
        <w:rPr>
          <w:rFonts w:asciiTheme="minorHAnsi" w:hAnsiTheme="minorHAnsi" w:cstheme="minorHAnsi"/>
          <w:color w:val="auto"/>
          <w:sz w:val="22"/>
          <w:szCs w:val="22"/>
          <w:lang w:eastAsia="en-AU"/>
        </w:rPr>
        <w:t>’</w:t>
      </w:r>
      <w:r w:rsidRPr="00D4502E">
        <w:rPr>
          <w:rFonts w:asciiTheme="minorHAnsi" w:hAnsiTheme="minorHAnsi" w:cstheme="minorHAnsi"/>
          <w:color w:val="auto"/>
          <w:sz w:val="22"/>
          <w:szCs w:val="22"/>
          <w:lang w:eastAsia="en-AU"/>
        </w:rPr>
        <w:t xml:space="preserve"> at the date of claim</w:t>
      </w:r>
      <w:r w:rsidR="007F7F47">
        <w:rPr>
          <w:rFonts w:asciiTheme="minorHAnsi" w:hAnsiTheme="minorHAnsi" w:cstheme="minorHAnsi"/>
          <w:color w:val="auto"/>
          <w:sz w:val="22"/>
          <w:szCs w:val="22"/>
          <w:lang w:eastAsia="en-AU"/>
        </w:rPr>
        <w:t>.</w:t>
      </w:r>
    </w:p>
    <w:p w:rsidR="009F0604" w:rsidRDefault="009F0604" w:rsidP="008D6F44">
      <w:pPr>
        <w:pStyle w:val="Heading3"/>
        <w:rPr>
          <w:sz w:val="24"/>
          <w:szCs w:val="24"/>
        </w:rPr>
      </w:pPr>
    </w:p>
    <w:p w:rsidR="001A1431" w:rsidRPr="00FE420F" w:rsidRDefault="000B37C2" w:rsidP="008D6F44">
      <w:pPr>
        <w:pStyle w:val="Heading3"/>
        <w:rPr>
          <w:sz w:val="24"/>
          <w:szCs w:val="24"/>
        </w:rPr>
      </w:pPr>
      <w:bookmarkStart w:id="18" w:name="_Toc379199694"/>
      <w:r w:rsidRPr="00FE420F">
        <w:rPr>
          <w:sz w:val="24"/>
          <w:szCs w:val="24"/>
        </w:rPr>
        <w:t>Increase homelessness services</w:t>
      </w:r>
      <w:bookmarkEnd w:id="18"/>
      <w:r w:rsidRPr="00FE420F">
        <w:rPr>
          <w:sz w:val="24"/>
          <w:szCs w:val="24"/>
        </w:rPr>
        <w:t xml:space="preserve"> </w:t>
      </w:r>
    </w:p>
    <w:p w:rsidR="001A1431" w:rsidRPr="00BB5D86" w:rsidRDefault="001A1431" w:rsidP="001A1431">
      <w:pPr>
        <w:spacing w:before="100" w:beforeAutospacing="1" w:after="100" w:afterAutospacing="1"/>
        <w:rPr>
          <w:rFonts w:asciiTheme="minorHAnsi" w:eastAsia="Times New Roman" w:hAnsiTheme="minorHAnsi" w:cstheme="minorHAnsi"/>
          <w:sz w:val="22"/>
          <w:lang w:eastAsia="en-AU"/>
        </w:rPr>
      </w:pPr>
      <w:r w:rsidRPr="00BB5D86">
        <w:rPr>
          <w:rFonts w:asciiTheme="minorHAnsi" w:eastAsia="Times New Roman" w:hAnsiTheme="minorHAnsi" w:cstheme="minorHAnsi"/>
          <w:sz w:val="22"/>
          <w:lang w:eastAsia="en-AU"/>
        </w:rPr>
        <w:t>NWRN is concerned at the recent increase in the number of people aged over 55 seeking assistance from homelessness services. This indicates the growing threat of poverty being faced by older Australians and highlights the need to better prepare for the ‘greying’ of our population.</w:t>
      </w:r>
    </w:p>
    <w:p w:rsidR="00384D0C" w:rsidRDefault="001A1431" w:rsidP="00384D0C">
      <w:pPr>
        <w:rPr>
          <w:rFonts w:asciiTheme="minorHAnsi" w:eastAsia="Times New Roman" w:hAnsiTheme="minorHAnsi" w:cstheme="minorHAnsi"/>
          <w:sz w:val="22"/>
          <w:lang w:eastAsia="en-AU"/>
        </w:rPr>
      </w:pPr>
      <w:r w:rsidRPr="00BB5D86">
        <w:rPr>
          <w:rFonts w:asciiTheme="minorHAnsi" w:eastAsia="Times New Roman" w:hAnsiTheme="minorHAnsi" w:cstheme="minorHAnsi"/>
          <w:sz w:val="22"/>
          <w:lang w:eastAsia="en-AU"/>
        </w:rPr>
        <w:t>Many older</w:t>
      </w:r>
      <w:r w:rsidR="0094701C">
        <w:rPr>
          <w:rFonts w:asciiTheme="minorHAnsi" w:eastAsia="Times New Roman" w:hAnsiTheme="minorHAnsi" w:cstheme="minorHAnsi"/>
          <w:sz w:val="22"/>
          <w:lang w:eastAsia="en-AU"/>
        </w:rPr>
        <w:t xml:space="preserve"> people live </w:t>
      </w:r>
      <w:r w:rsidR="00FE420F">
        <w:rPr>
          <w:rFonts w:asciiTheme="minorHAnsi" w:eastAsia="Times New Roman" w:hAnsiTheme="minorHAnsi" w:cstheme="minorHAnsi"/>
          <w:sz w:val="22"/>
          <w:lang w:eastAsia="en-AU"/>
        </w:rPr>
        <w:t>on</w:t>
      </w:r>
      <w:r w:rsidR="00FE420F" w:rsidRPr="00BB5D86">
        <w:rPr>
          <w:rFonts w:asciiTheme="minorHAnsi" w:eastAsia="Times New Roman" w:hAnsiTheme="minorHAnsi" w:cstheme="minorHAnsi"/>
          <w:sz w:val="22"/>
          <w:lang w:eastAsia="en-AU"/>
        </w:rPr>
        <w:t xml:space="preserve"> limited</w:t>
      </w:r>
      <w:r w:rsidRPr="00BB5D86">
        <w:rPr>
          <w:rFonts w:asciiTheme="minorHAnsi" w:eastAsia="Times New Roman" w:hAnsiTheme="minorHAnsi" w:cstheme="minorHAnsi"/>
          <w:sz w:val="22"/>
          <w:lang w:eastAsia="en-AU"/>
        </w:rPr>
        <w:t xml:space="preserve">, fixed incomes and those in the private rental market face considerable difficulties making ends meet. The Australian Institute of Health and Welfare’s study, </w:t>
      </w:r>
      <w:r w:rsidRPr="00BB5D86">
        <w:rPr>
          <w:rFonts w:asciiTheme="minorHAnsi" w:eastAsia="Times New Roman" w:hAnsiTheme="minorHAnsi" w:cstheme="minorHAnsi"/>
          <w:i/>
          <w:sz w:val="22"/>
          <w:lang w:eastAsia="en-AU"/>
        </w:rPr>
        <w:t>Specialist Homelessness Services: 2012-13 Report</w:t>
      </w:r>
      <w:r w:rsidRPr="00BB5D86">
        <w:rPr>
          <w:rFonts w:asciiTheme="minorHAnsi" w:eastAsia="Times New Roman" w:hAnsiTheme="minorHAnsi" w:cstheme="minorHAnsi"/>
          <w:sz w:val="22"/>
          <w:lang w:eastAsia="en-AU"/>
        </w:rPr>
        <w:t>, shows a 14% increase in people aged 55 and over seeking assistance from homelessness services. NWRN’s recent report on Rent Assistance highlighted the problems faced by older renters, especially older women.</w:t>
      </w:r>
      <w:r w:rsidR="00384D0C" w:rsidRPr="00BB5D86">
        <w:rPr>
          <w:rStyle w:val="FootnoteReference"/>
          <w:rFonts w:asciiTheme="minorHAnsi" w:eastAsia="Times New Roman" w:hAnsiTheme="minorHAnsi" w:cstheme="minorHAnsi"/>
          <w:sz w:val="22"/>
          <w:lang w:eastAsia="en-AU"/>
        </w:rPr>
        <w:footnoteReference w:id="25"/>
      </w:r>
      <w:r w:rsidRPr="00BB5D86">
        <w:rPr>
          <w:rFonts w:asciiTheme="minorHAnsi" w:eastAsia="Times New Roman" w:hAnsiTheme="minorHAnsi" w:cstheme="minorHAnsi"/>
          <w:sz w:val="22"/>
          <w:lang w:eastAsia="en-AU"/>
        </w:rPr>
        <w:t xml:space="preserve"> </w:t>
      </w:r>
    </w:p>
    <w:p w:rsidR="00FB139C" w:rsidRPr="00BB5D86" w:rsidRDefault="00FB139C" w:rsidP="00384D0C">
      <w:pPr>
        <w:rPr>
          <w:rFonts w:asciiTheme="minorHAnsi" w:eastAsia="Times New Roman" w:hAnsiTheme="minorHAnsi" w:cstheme="minorHAnsi"/>
          <w:sz w:val="22"/>
          <w:lang w:eastAsia="en-AU"/>
        </w:rPr>
      </w:pPr>
    </w:p>
    <w:p w:rsidR="00384D0C" w:rsidRDefault="0094701C" w:rsidP="00384D0C">
      <w:pPr>
        <w:rPr>
          <w:rFonts w:asciiTheme="minorHAnsi" w:hAnsiTheme="minorHAnsi" w:cstheme="minorHAnsi"/>
          <w:sz w:val="22"/>
        </w:rPr>
      </w:pPr>
      <w:r>
        <w:rPr>
          <w:rFonts w:asciiTheme="minorHAnsi" w:hAnsiTheme="minorHAnsi" w:cstheme="minorHAnsi"/>
          <w:sz w:val="22"/>
        </w:rPr>
        <w:t>Recent i</w:t>
      </w:r>
      <w:r w:rsidR="00384D0C" w:rsidRPr="00BB5D86">
        <w:rPr>
          <w:rFonts w:asciiTheme="minorHAnsi" w:hAnsiTheme="minorHAnsi" w:cstheme="minorHAnsi"/>
          <w:sz w:val="22"/>
        </w:rPr>
        <w:t xml:space="preserve">ncreases to Age and Disability Support Pension payments have helped reduce the numbers of these pensioners paying in excess of half of their income in rent. </w:t>
      </w:r>
    </w:p>
    <w:p w:rsidR="00FB139C" w:rsidRPr="00BB5D86" w:rsidRDefault="00FB139C" w:rsidP="00384D0C">
      <w:pPr>
        <w:rPr>
          <w:rFonts w:asciiTheme="minorHAnsi" w:hAnsiTheme="minorHAnsi" w:cstheme="minorHAnsi"/>
          <w:sz w:val="22"/>
        </w:rPr>
      </w:pPr>
    </w:p>
    <w:p w:rsidR="001A1431" w:rsidRPr="00BB5D86" w:rsidRDefault="001A1431" w:rsidP="001A1431">
      <w:pPr>
        <w:pBdr>
          <w:top w:val="single" w:sz="4" w:space="1" w:color="auto"/>
          <w:left w:val="single" w:sz="4" w:space="4" w:color="auto"/>
          <w:bottom w:val="single" w:sz="4" w:space="1" w:color="auto"/>
          <w:right w:val="single" w:sz="4" w:space="4" w:color="auto"/>
        </w:pBdr>
        <w:rPr>
          <w:rFonts w:asciiTheme="minorHAnsi" w:hAnsiTheme="minorHAnsi" w:cstheme="minorHAnsi"/>
          <w:b/>
          <w:sz w:val="22"/>
        </w:rPr>
      </w:pPr>
      <w:r w:rsidRPr="00BB5D86">
        <w:rPr>
          <w:rFonts w:asciiTheme="minorHAnsi" w:hAnsiTheme="minorHAnsi" w:cstheme="minorHAnsi"/>
          <w:b/>
          <w:sz w:val="22"/>
        </w:rPr>
        <w:t>Recommendation</w:t>
      </w:r>
      <w:r w:rsidR="00331423">
        <w:rPr>
          <w:rFonts w:asciiTheme="minorHAnsi" w:hAnsiTheme="minorHAnsi" w:cstheme="minorHAnsi"/>
          <w:b/>
          <w:sz w:val="22"/>
        </w:rPr>
        <w:t xml:space="preserve"> #</w:t>
      </w:r>
      <w:r w:rsidR="000966B1">
        <w:rPr>
          <w:rFonts w:asciiTheme="minorHAnsi" w:hAnsiTheme="minorHAnsi" w:cstheme="minorHAnsi"/>
          <w:b/>
          <w:sz w:val="22"/>
        </w:rPr>
        <w:t>16</w:t>
      </w:r>
      <w:r w:rsidRPr="00BB5D86">
        <w:rPr>
          <w:rFonts w:asciiTheme="minorHAnsi" w:hAnsiTheme="minorHAnsi" w:cstheme="minorHAnsi"/>
          <w:b/>
          <w:sz w:val="22"/>
        </w:rPr>
        <w:t xml:space="preserve">: </w:t>
      </w:r>
      <w:r w:rsidRPr="000966B1">
        <w:rPr>
          <w:rFonts w:asciiTheme="minorHAnsi" w:hAnsiTheme="minorHAnsi" w:cstheme="minorHAnsi"/>
          <w:sz w:val="22"/>
        </w:rPr>
        <w:t>That the Federal Government develop specific strategies to reduce homelessness among older people, and to provide appropriate services and support for older people needing crisis accommodation.</w:t>
      </w:r>
      <w:r w:rsidR="00331423">
        <w:rPr>
          <w:rFonts w:asciiTheme="minorHAnsi" w:hAnsiTheme="minorHAnsi" w:cstheme="minorHAnsi"/>
          <w:b/>
          <w:sz w:val="22"/>
        </w:rPr>
        <w:t xml:space="preserve"> </w:t>
      </w:r>
    </w:p>
    <w:p w:rsidR="00327EBA" w:rsidRDefault="00327EBA" w:rsidP="00473914">
      <w:pPr>
        <w:jc w:val="both"/>
        <w:rPr>
          <w:rFonts w:asciiTheme="minorHAnsi" w:hAnsiTheme="minorHAnsi" w:cstheme="minorHAnsi"/>
          <w:b/>
          <w:color w:val="0070C0"/>
          <w:sz w:val="22"/>
          <w:lang w:eastAsia="en-A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94BE6" w:rsidRDefault="00D94BE6" w:rsidP="008D6F44">
      <w:pPr>
        <w:pStyle w:val="Heading3"/>
        <w:rPr>
          <w:sz w:val="24"/>
          <w:szCs w:val="24"/>
        </w:rPr>
      </w:pPr>
      <w:bookmarkStart w:id="19" w:name="_Toc379199695"/>
    </w:p>
    <w:p w:rsidR="00275D98" w:rsidRDefault="00275D98" w:rsidP="008D6F44">
      <w:pPr>
        <w:pStyle w:val="Heading3"/>
        <w:rPr>
          <w:sz w:val="24"/>
          <w:szCs w:val="24"/>
        </w:rPr>
      </w:pPr>
    </w:p>
    <w:p w:rsidR="0026007C" w:rsidRPr="00FE420F" w:rsidRDefault="007F7F47" w:rsidP="008D6F44">
      <w:pPr>
        <w:pStyle w:val="Heading3"/>
        <w:rPr>
          <w:sz w:val="24"/>
          <w:szCs w:val="24"/>
        </w:rPr>
      </w:pPr>
      <w:r w:rsidRPr="00FE420F">
        <w:rPr>
          <w:sz w:val="24"/>
          <w:szCs w:val="24"/>
        </w:rPr>
        <w:t>Help</w:t>
      </w:r>
      <w:r w:rsidR="0026007C" w:rsidRPr="00FE420F">
        <w:rPr>
          <w:sz w:val="24"/>
          <w:szCs w:val="24"/>
        </w:rPr>
        <w:t xml:space="preserve"> for people with Centrelink and income support </w:t>
      </w:r>
      <w:r w:rsidRPr="00FE420F">
        <w:rPr>
          <w:sz w:val="24"/>
          <w:szCs w:val="24"/>
        </w:rPr>
        <w:t>problems</w:t>
      </w:r>
      <w:bookmarkEnd w:id="19"/>
    </w:p>
    <w:p w:rsidR="0026007C" w:rsidRPr="00BB5D86" w:rsidRDefault="0026007C" w:rsidP="0026007C">
      <w:pPr>
        <w:jc w:val="both"/>
        <w:rPr>
          <w:rFonts w:asciiTheme="minorHAnsi" w:hAnsiTheme="minorHAnsi" w:cstheme="minorHAnsi"/>
          <w:b/>
          <w:sz w:val="22"/>
          <w:lang w:eastAsia="en-AU"/>
        </w:rPr>
      </w:pPr>
    </w:p>
    <w:p w:rsidR="0026007C" w:rsidRPr="00BB5D86" w:rsidRDefault="0026007C" w:rsidP="0026007C">
      <w:pPr>
        <w:jc w:val="both"/>
        <w:rPr>
          <w:rFonts w:asciiTheme="minorHAnsi" w:hAnsiTheme="minorHAnsi" w:cstheme="minorHAnsi"/>
          <w:sz w:val="22"/>
          <w:lang w:eastAsia="en-AU"/>
        </w:rPr>
      </w:pPr>
      <w:r w:rsidRPr="00BB5D86">
        <w:rPr>
          <w:rFonts w:asciiTheme="minorHAnsi" w:hAnsiTheme="minorHAnsi" w:cstheme="minorHAnsi"/>
          <w:sz w:val="22"/>
          <w:lang w:eastAsia="en-AU"/>
        </w:rPr>
        <w:t xml:space="preserve">The National Welfare Rights Network (NWRN) is a network of </w:t>
      </w:r>
      <w:r w:rsidR="0094701C">
        <w:rPr>
          <w:rFonts w:asciiTheme="minorHAnsi" w:hAnsiTheme="minorHAnsi" w:cstheme="minorHAnsi"/>
          <w:sz w:val="22"/>
          <w:lang w:eastAsia="en-AU"/>
        </w:rPr>
        <w:t xml:space="preserve">14 </w:t>
      </w:r>
      <w:r w:rsidRPr="00BB5D86">
        <w:rPr>
          <w:rFonts w:asciiTheme="minorHAnsi" w:hAnsiTheme="minorHAnsi" w:cstheme="minorHAnsi"/>
          <w:sz w:val="22"/>
          <w:lang w:eastAsia="en-AU"/>
        </w:rPr>
        <w:t xml:space="preserve">community legal centres members and three Aboriginal Legal services </w:t>
      </w:r>
      <w:r w:rsidR="0094701C">
        <w:rPr>
          <w:rFonts w:asciiTheme="minorHAnsi" w:hAnsiTheme="minorHAnsi" w:cstheme="minorHAnsi"/>
          <w:sz w:val="22"/>
          <w:lang w:eastAsia="en-AU"/>
        </w:rPr>
        <w:t xml:space="preserve">affiliate members. Our members </w:t>
      </w:r>
      <w:r w:rsidRPr="00BB5D86">
        <w:rPr>
          <w:rFonts w:asciiTheme="minorHAnsi" w:hAnsiTheme="minorHAnsi" w:cstheme="minorHAnsi"/>
          <w:sz w:val="22"/>
          <w:lang w:eastAsia="en-AU"/>
        </w:rPr>
        <w:t xml:space="preserve">specialise in social security law and its administration by the Department of Human Services (DHS).  Our </w:t>
      </w:r>
      <w:r w:rsidR="007F7F47">
        <w:rPr>
          <w:rFonts w:asciiTheme="minorHAnsi" w:hAnsiTheme="minorHAnsi" w:cstheme="minorHAnsi"/>
          <w:sz w:val="22"/>
          <w:lang w:eastAsia="en-AU"/>
        </w:rPr>
        <w:t>m</w:t>
      </w:r>
      <w:r w:rsidRPr="00BB5D86">
        <w:rPr>
          <w:rFonts w:asciiTheme="minorHAnsi" w:hAnsiTheme="minorHAnsi" w:cstheme="minorHAnsi"/>
          <w:sz w:val="22"/>
          <w:lang w:eastAsia="en-AU"/>
        </w:rPr>
        <w:t xml:space="preserve">embers are located across Australia.  The Network also develops policy and advocates for beneficial law reform. </w:t>
      </w:r>
    </w:p>
    <w:p w:rsidR="0026007C" w:rsidRPr="00BB5D86" w:rsidRDefault="0026007C" w:rsidP="0026007C">
      <w:pPr>
        <w:jc w:val="both"/>
        <w:rPr>
          <w:rFonts w:asciiTheme="minorHAnsi" w:hAnsiTheme="minorHAnsi" w:cstheme="minorHAnsi"/>
          <w:sz w:val="22"/>
          <w:lang w:eastAsia="en-AU"/>
        </w:rPr>
      </w:pPr>
    </w:p>
    <w:p w:rsidR="00921637" w:rsidRDefault="0026007C" w:rsidP="00921637">
      <w:pPr>
        <w:jc w:val="both"/>
        <w:rPr>
          <w:rFonts w:asciiTheme="minorHAnsi" w:hAnsiTheme="minorHAnsi" w:cstheme="minorHAnsi"/>
          <w:i/>
          <w:sz w:val="22"/>
          <w:lang w:eastAsia="en-AU"/>
        </w:rPr>
      </w:pPr>
      <w:r w:rsidRPr="00BB5D86">
        <w:rPr>
          <w:rFonts w:asciiTheme="minorHAnsi" w:hAnsiTheme="minorHAnsi" w:cstheme="minorHAnsi"/>
          <w:sz w:val="22"/>
          <w:lang w:eastAsia="en-AU"/>
        </w:rPr>
        <w:t xml:space="preserve">NWRN member organisations provide casework assistance to their clients. </w:t>
      </w:r>
      <w:r w:rsidR="00D85C21">
        <w:rPr>
          <w:rFonts w:asciiTheme="minorHAnsi" w:hAnsiTheme="minorHAnsi" w:cstheme="minorHAnsi"/>
          <w:sz w:val="22"/>
          <w:lang w:eastAsia="en-AU"/>
        </w:rPr>
        <w:t>They</w:t>
      </w:r>
      <w:r w:rsidRPr="00BB5D86">
        <w:rPr>
          <w:rFonts w:asciiTheme="minorHAnsi" w:hAnsiTheme="minorHAnsi" w:cstheme="minorHAnsi"/>
          <w:sz w:val="22"/>
          <w:lang w:eastAsia="en-AU"/>
        </w:rPr>
        <w:t xml:space="preserve"> conduct training and education for community workers and produce high quality information and publications to help </w:t>
      </w:r>
      <w:r w:rsidR="0094701C">
        <w:rPr>
          <w:rFonts w:asciiTheme="minorHAnsi" w:hAnsiTheme="minorHAnsi" w:cstheme="minorHAnsi"/>
          <w:sz w:val="22"/>
          <w:lang w:eastAsia="en-AU"/>
        </w:rPr>
        <w:t>s</w:t>
      </w:r>
      <w:r w:rsidRPr="00BB5D86">
        <w:rPr>
          <w:rFonts w:asciiTheme="minorHAnsi" w:hAnsiTheme="minorHAnsi" w:cstheme="minorHAnsi"/>
          <w:sz w:val="22"/>
          <w:lang w:eastAsia="en-AU"/>
        </w:rPr>
        <w:t xml:space="preserve">ocial </w:t>
      </w:r>
      <w:r w:rsidR="0094701C">
        <w:rPr>
          <w:rFonts w:asciiTheme="minorHAnsi" w:hAnsiTheme="minorHAnsi" w:cstheme="minorHAnsi"/>
          <w:sz w:val="22"/>
          <w:lang w:eastAsia="en-AU"/>
        </w:rPr>
        <w:t>s</w:t>
      </w:r>
      <w:r w:rsidRPr="00BB5D86">
        <w:rPr>
          <w:rFonts w:asciiTheme="minorHAnsi" w:hAnsiTheme="minorHAnsi" w:cstheme="minorHAnsi"/>
          <w:sz w:val="22"/>
          <w:lang w:eastAsia="en-AU"/>
        </w:rPr>
        <w:t>ecurity recipients and community organi</w:t>
      </w:r>
      <w:r w:rsidR="00D85C21">
        <w:rPr>
          <w:rFonts w:asciiTheme="minorHAnsi" w:hAnsiTheme="minorHAnsi" w:cstheme="minorHAnsi"/>
          <w:sz w:val="22"/>
          <w:lang w:eastAsia="en-AU"/>
        </w:rPr>
        <w:t xml:space="preserve">sations understand the system. </w:t>
      </w:r>
      <w:r w:rsidRPr="00BB5D86">
        <w:rPr>
          <w:rFonts w:asciiTheme="minorHAnsi" w:hAnsiTheme="minorHAnsi" w:cstheme="minorHAnsi"/>
          <w:sz w:val="22"/>
          <w:lang w:eastAsia="en-AU"/>
        </w:rPr>
        <w:t xml:space="preserve"> </w:t>
      </w:r>
    </w:p>
    <w:p w:rsidR="00921637" w:rsidRDefault="00921637" w:rsidP="00921637">
      <w:pPr>
        <w:jc w:val="both"/>
        <w:rPr>
          <w:rFonts w:asciiTheme="minorHAnsi" w:hAnsiTheme="minorHAnsi" w:cstheme="minorHAnsi"/>
          <w:i/>
          <w:sz w:val="22"/>
          <w:lang w:eastAsia="en-AU"/>
        </w:rPr>
      </w:pPr>
    </w:p>
    <w:p w:rsidR="0026007C" w:rsidRPr="00921637" w:rsidRDefault="0026007C" w:rsidP="00921637">
      <w:pPr>
        <w:jc w:val="both"/>
        <w:rPr>
          <w:rFonts w:asciiTheme="minorHAnsi" w:hAnsiTheme="minorHAnsi" w:cstheme="minorHAnsi"/>
          <w:i/>
          <w:sz w:val="22"/>
          <w:lang w:eastAsia="en-AU"/>
        </w:rPr>
      </w:pPr>
      <w:r w:rsidRPr="00BB5D86">
        <w:rPr>
          <w:rFonts w:asciiTheme="minorHAnsi" w:hAnsiTheme="minorHAnsi" w:cstheme="minorHAnsi"/>
          <w:sz w:val="22"/>
        </w:rPr>
        <w:t>Each year, Welfare Rights caseworkers assist thousands of people with Centrelink problems. Welfare Rights services are cost-effective and efficient.</w:t>
      </w:r>
      <w:r w:rsidR="003540B3">
        <w:rPr>
          <w:rFonts w:asciiTheme="minorHAnsi" w:hAnsiTheme="minorHAnsi" w:cstheme="minorHAnsi"/>
          <w:sz w:val="22"/>
        </w:rPr>
        <w:t xml:space="preserve"> NWRN</w:t>
      </w:r>
      <w:r w:rsidR="009111EB">
        <w:rPr>
          <w:rFonts w:asciiTheme="minorHAnsi" w:hAnsiTheme="minorHAnsi" w:cstheme="minorHAnsi"/>
          <w:sz w:val="22"/>
        </w:rPr>
        <w:t>’s 14</w:t>
      </w:r>
      <w:r w:rsidR="003540B3">
        <w:rPr>
          <w:rFonts w:asciiTheme="minorHAnsi" w:hAnsiTheme="minorHAnsi" w:cstheme="minorHAnsi"/>
          <w:sz w:val="22"/>
        </w:rPr>
        <w:t xml:space="preserve"> member casework services are</w:t>
      </w:r>
      <w:r w:rsidR="0094701C">
        <w:rPr>
          <w:rFonts w:asciiTheme="minorHAnsi" w:hAnsiTheme="minorHAnsi" w:cstheme="minorHAnsi"/>
          <w:sz w:val="22"/>
        </w:rPr>
        <w:t xml:space="preserve">, in the main, </w:t>
      </w:r>
      <w:r w:rsidR="003540B3">
        <w:rPr>
          <w:rFonts w:asciiTheme="minorHAnsi" w:hAnsiTheme="minorHAnsi" w:cstheme="minorHAnsi"/>
          <w:sz w:val="22"/>
        </w:rPr>
        <w:t xml:space="preserve">funded under the Community Legal </w:t>
      </w:r>
      <w:r w:rsidR="009111EB">
        <w:rPr>
          <w:rFonts w:asciiTheme="minorHAnsi" w:hAnsiTheme="minorHAnsi" w:cstheme="minorHAnsi"/>
          <w:sz w:val="22"/>
        </w:rPr>
        <w:t xml:space="preserve">Services </w:t>
      </w:r>
      <w:r w:rsidR="003540B3">
        <w:rPr>
          <w:rFonts w:asciiTheme="minorHAnsi" w:hAnsiTheme="minorHAnsi" w:cstheme="minorHAnsi"/>
          <w:sz w:val="22"/>
        </w:rPr>
        <w:t xml:space="preserve">Program. </w:t>
      </w:r>
      <w:r w:rsidR="009111EB">
        <w:rPr>
          <w:rFonts w:asciiTheme="minorHAnsi" w:hAnsiTheme="minorHAnsi" w:cstheme="minorHAnsi"/>
          <w:sz w:val="22"/>
        </w:rPr>
        <w:t xml:space="preserve">Members </w:t>
      </w:r>
      <w:r w:rsidR="00084EDB">
        <w:rPr>
          <w:rFonts w:asciiTheme="minorHAnsi" w:hAnsiTheme="minorHAnsi" w:cstheme="minorHAnsi"/>
          <w:sz w:val="22"/>
        </w:rPr>
        <w:t>o</w:t>
      </w:r>
      <w:r w:rsidR="009111EB">
        <w:rPr>
          <w:rFonts w:asciiTheme="minorHAnsi" w:hAnsiTheme="minorHAnsi" w:cstheme="minorHAnsi"/>
          <w:sz w:val="22"/>
        </w:rPr>
        <w:t xml:space="preserve">f the National Welfare Rights Network </w:t>
      </w:r>
      <w:r w:rsidR="00084EDB">
        <w:rPr>
          <w:rFonts w:asciiTheme="minorHAnsi" w:hAnsiTheme="minorHAnsi" w:cstheme="minorHAnsi"/>
          <w:sz w:val="22"/>
        </w:rPr>
        <w:t>receive</w:t>
      </w:r>
      <w:r w:rsidR="009111EB">
        <w:rPr>
          <w:rFonts w:asciiTheme="minorHAnsi" w:hAnsiTheme="minorHAnsi" w:cstheme="minorHAnsi"/>
          <w:sz w:val="22"/>
        </w:rPr>
        <w:t xml:space="preserve"> recurrent funding under the CLSP for welfare rights services. In 2011-12, a total amount of $1.8 million was provided.</w:t>
      </w:r>
    </w:p>
    <w:p w:rsidR="0026007C" w:rsidRPr="00BB5D86" w:rsidRDefault="0026007C" w:rsidP="0026007C">
      <w:pPr>
        <w:rPr>
          <w:rFonts w:asciiTheme="minorHAnsi" w:hAnsiTheme="minorHAnsi" w:cstheme="minorHAnsi"/>
          <w:sz w:val="22"/>
        </w:rPr>
      </w:pPr>
    </w:p>
    <w:p w:rsidR="00BC73BA" w:rsidRDefault="0026007C" w:rsidP="0026007C">
      <w:pPr>
        <w:rPr>
          <w:rFonts w:asciiTheme="minorHAnsi" w:hAnsiTheme="minorHAnsi" w:cstheme="minorHAnsi"/>
          <w:sz w:val="22"/>
        </w:rPr>
      </w:pPr>
      <w:r w:rsidRPr="00BB5D86">
        <w:rPr>
          <w:rFonts w:asciiTheme="minorHAnsi" w:hAnsiTheme="minorHAnsi" w:cstheme="minorHAnsi"/>
          <w:sz w:val="22"/>
        </w:rPr>
        <w:t xml:space="preserve">Centrelink </w:t>
      </w:r>
      <w:r w:rsidR="00BC73BA">
        <w:rPr>
          <w:rFonts w:asciiTheme="minorHAnsi" w:hAnsiTheme="minorHAnsi" w:cstheme="minorHAnsi"/>
          <w:sz w:val="22"/>
        </w:rPr>
        <w:t xml:space="preserve">administration and </w:t>
      </w:r>
      <w:r w:rsidRPr="00BB5D86">
        <w:rPr>
          <w:rFonts w:asciiTheme="minorHAnsi" w:hAnsiTheme="minorHAnsi" w:cstheme="minorHAnsi"/>
          <w:sz w:val="22"/>
        </w:rPr>
        <w:t xml:space="preserve">practices could be significantly improved by an expansion of independent </w:t>
      </w:r>
      <w:r w:rsidR="00BC73BA">
        <w:rPr>
          <w:rFonts w:asciiTheme="minorHAnsi" w:hAnsiTheme="minorHAnsi" w:cstheme="minorHAnsi"/>
          <w:sz w:val="22"/>
        </w:rPr>
        <w:t>s</w:t>
      </w:r>
      <w:r w:rsidRPr="00BB5D86">
        <w:rPr>
          <w:rFonts w:asciiTheme="minorHAnsi" w:hAnsiTheme="minorHAnsi" w:cstheme="minorHAnsi"/>
          <w:sz w:val="22"/>
        </w:rPr>
        <w:t xml:space="preserve">ocial </w:t>
      </w:r>
      <w:r w:rsidR="00BC73BA">
        <w:rPr>
          <w:rFonts w:asciiTheme="minorHAnsi" w:hAnsiTheme="minorHAnsi" w:cstheme="minorHAnsi"/>
          <w:sz w:val="22"/>
        </w:rPr>
        <w:t>s</w:t>
      </w:r>
      <w:r w:rsidRPr="00BB5D86">
        <w:rPr>
          <w:rFonts w:asciiTheme="minorHAnsi" w:hAnsiTheme="minorHAnsi" w:cstheme="minorHAnsi"/>
          <w:sz w:val="22"/>
        </w:rPr>
        <w:t xml:space="preserve">ecurity advice and </w:t>
      </w:r>
      <w:r w:rsidR="00FE420F">
        <w:rPr>
          <w:rFonts w:asciiTheme="minorHAnsi" w:hAnsiTheme="minorHAnsi" w:cstheme="minorHAnsi"/>
          <w:sz w:val="22"/>
        </w:rPr>
        <w:t>casework.</w:t>
      </w:r>
    </w:p>
    <w:p w:rsidR="00921637" w:rsidRPr="00BB5D86" w:rsidRDefault="00921637" w:rsidP="0026007C">
      <w:pPr>
        <w:rPr>
          <w:rFonts w:asciiTheme="minorHAnsi" w:hAnsiTheme="minorHAnsi" w:cstheme="minorHAnsi"/>
          <w:sz w:val="22"/>
        </w:rPr>
      </w:pPr>
    </w:p>
    <w:p w:rsidR="00921637" w:rsidRPr="00BB5D86" w:rsidRDefault="00921637" w:rsidP="00921637">
      <w:pPr>
        <w:rPr>
          <w:rFonts w:asciiTheme="minorHAnsi" w:hAnsiTheme="minorHAnsi" w:cstheme="minorHAnsi"/>
          <w:color w:val="4A442A" w:themeColor="background2" w:themeShade="40"/>
          <w:sz w:val="22"/>
          <w:lang w:eastAsia="en-AU"/>
        </w:rPr>
      </w:pPr>
      <w:r w:rsidRPr="00BB5D86">
        <w:rPr>
          <w:rFonts w:asciiTheme="minorHAnsi" w:hAnsiTheme="minorHAnsi" w:cstheme="minorHAnsi"/>
          <w:sz w:val="22"/>
        </w:rPr>
        <w:t>The value and contribution of the work performed by the NWRN has been recognised by the OECD who said in a recent report that the NWRN’s “input into policy formulation process, informed by feedback from their street-level operations, give society a good return on a relatively small investment.”</w:t>
      </w:r>
      <w:r w:rsidRPr="00BB5D86">
        <w:rPr>
          <w:rFonts w:asciiTheme="minorHAnsi" w:hAnsiTheme="minorHAnsi" w:cstheme="minorHAnsi"/>
          <w:sz w:val="14"/>
          <w:szCs w:val="16"/>
        </w:rPr>
        <w:footnoteReference w:id="26"/>
      </w:r>
      <w:r w:rsidRPr="00BB5D86">
        <w:rPr>
          <w:rFonts w:asciiTheme="minorHAnsi" w:hAnsiTheme="minorHAnsi" w:cstheme="minorHAnsi"/>
          <w:sz w:val="22"/>
        </w:rPr>
        <w:t xml:space="preserve"> </w:t>
      </w:r>
    </w:p>
    <w:p w:rsidR="0026007C" w:rsidRPr="00BB5D86" w:rsidRDefault="0026007C" w:rsidP="0026007C">
      <w:pPr>
        <w:rPr>
          <w:rFonts w:asciiTheme="minorHAnsi" w:hAnsiTheme="minorHAnsi" w:cstheme="minorHAnsi"/>
          <w:sz w:val="22"/>
        </w:rPr>
      </w:pPr>
    </w:p>
    <w:p w:rsidR="0026007C" w:rsidRPr="00BB5D86" w:rsidRDefault="00921637" w:rsidP="0026007C">
      <w:pPr>
        <w:rPr>
          <w:rFonts w:asciiTheme="minorHAnsi" w:hAnsiTheme="minorHAnsi" w:cstheme="minorHAnsi"/>
          <w:sz w:val="22"/>
        </w:rPr>
      </w:pPr>
      <w:r>
        <w:rPr>
          <w:rFonts w:asciiTheme="minorHAnsi" w:hAnsiTheme="minorHAnsi" w:cstheme="minorHAnsi"/>
          <w:sz w:val="22"/>
        </w:rPr>
        <w:t xml:space="preserve">An </w:t>
      </w:r>
      <w:r w:rsidR="00BC73BA">
        <w:rPr>
          <w:rFonts w:asciiTheme="minorHAnsi" w:hAnsiTheme="minorHAnsi" w:cstheme="minorHAnsi"/>
          <w:sz w:val="22"/>
        </w:rPr>
        <w:t xml:space="preserve">additional </w:t>
      </w:r>
      <w:r>
        <w:rPr>
          <w:rFonts w:asciiTheme="minorHAnsi" w:hAnsiTheme="minorHAnsi" w:cstheme="minorHAnsi"/>
          <w:sz w:val="22"/>
        </w:rPr>
        <w:t>investment of $1.5</w:t>
      </w:r>
      <w:r w:rsidR="0026007C" w:rsidRPr="00BB5D86">
        <w:rPr>
          <w:rFonts w:asciiTheme="minorHAnsi" w:hAnsiTheme="minorHAnsi" w:cstheme="minorHAnsi"/>
          <w:sz w:val="22"/>
        </w:rPr>
        <w:t xml:space="preserve"> million </w:t>
      </w:r>
      <w:r w:rsidR="007F7F47">
        <w:rPr>
          <w:rFonts w:asciiTheme="minorHAnsi" w:hAnsiTheme="minorHAnsi" w:cstheme="minorHAnsi"/>
          <w:sz w:val="22"/>
        </w:rPr>
        <w:t xml:space="preserve">for front-line casework services </w:t>
      </w:r>
      <w:r w:rsidR="0026007C" w:rsidRPr="00BB5D86">
        <w:rPr>
          <w:rFonts w:asciiTheme="minorHAnsi" w:hAnsiTheme="minorHAnsi" w:cstheme="minorHAnsi"/>
          <w:sz w:val="22"/>
        </w:rPr>
        <w:t xml:space="preserve">would mean that </w:t>
      </w:r>
      <w:r>
        <w:rPr>
          <w:rFonts w:asciiTheme="minorHAnsi" w:hAnsiTheme="minorHAnsi" w:cstheme="minorHAnsi"/>
          <w:sz w:val="22"/>
        </w:rPr>
        <w:t>tens of thousands</w:t>
      </w:r>
      <w:r w:rsidR="0026007C" w:rsidRPr="00BB5D86">
        <w:rPr>
          <w:rFonts w:asciiTheme="minorHAnsi" w:hAnsiTheme="minorHAnsi" w:cstheme="minorHAnsi"/>
          <w:sz w:val="22"/>
        </w:rPr>
        <w:t xml:space="preserve"> </w:t>
      </w:r>
      <w:r>
        <w:rPr>
          <w:rFonts w:asciiTheme="minorHAnsi" w:hAnsiTheme="minorHAnsi" w:cstheme="minorHAnsi"/>
          <w:sz w:val="22"/>
        </w:rPr>
        <w:t xml:space="preserve">of </w:t>
      </w:r>
      <w:r w:rsidR="0026007C" w:rsidRPr="00BB5D86">
        <w:rPr>
          <w:rFonts w:asciiTheme="minorHAnsi" w:hAnsiTheme="minorHAnsi" w:cstheme="minorHAnsi"/>
          <w:sz w:val="22"/>
        </w:rPr>
        <w:t xml:space="preserve">Centrelink recipients throughout Australia would be able to gain independent advice </w:t>
      </w:r>
      <w:r w:rsidR="00BC73BA">
        <w:rPr>
          <w:rFonts w:asciiTheme="minorHAnsi" w:hAnsiTheme="minorHAnsi" w:cstheme="minorHAnsi"/>
          <w:sz w:val="22"/>
        </w:rPr>
        <w:t xml:space="preserve">and casework assistance </w:t>
      </w:r>
      <w:r w:rsidR="0026007C" w:rsidRPr="00BB5D86">
        <w:rPr>
          <w:rFonts w:asciiTheme="minorHAnsi" w:hAnsiTheme="minorHAnsi" w:cstheme="minorHAnsi"/>
          <w:sz w:val="22"/>
        </w:rPr>
        <w:t xml:space="preserve">each year. </w:t>
      </w:r>
      <w:r w:rsidR="00BC73BA">
        <w:rPr>
          <w:rFonts w:asciiTheme="minorHAnsi" w:hAnsiTheme="minorHAnsi" w:cstheme="minorHAnsi"/>
          <w:sz w:val="22"/>
        </w:rPr>
        <w:t xml:space="preserve"> A tangential yet beneficial outcome would be </w:t>
      </w:r>
      <w:r w:rsidR="0026007C" w:rsidRPr="00BB5D86">
        <w:rPr>
          <w:rFonts w:asciiTheme="minorHAnsi" w:hAnsiTheme="minorHAnsi" w:cstheme="minorHAnsi"/>
          <w:sz w:val="22"/>
        </w:rPr>
        <w:t xml:space="preserve">significantly increased independent casework data on which to base feedback and advice to the Department of Human Services and the Department of Social Services </w:t>
      </w:r>
      <w:r w:rsidR="00BC73BA">
        <w:rPr>
          <w:rFonts w:asciiTheme="minorHAnsi" w:hAnsiTheme="minorHAnsi" w:cstheme="minorHAnsi"/>
          <w:sz w:val="22"/>
        </w:rPr>
        <w:t xml:space="preserve">about </w:t>
      </w:r>
      <w:r w:rsidR="0026007C" w:rsidRPr="00BB5D86">
        <w:rPr>
          <w:rFonts w:asciiTheme="minorHAnsi" w:hAnsiTheme="minorHAnsi" w:cstheme="minorHAnsi"/>
          <w:sz w:val="22"/>
        </w:rPr>
        <w:t>emerging problems</w:t>
      </w:r>
      <w:r w:rsidR="007F7F47">
        <w:rPr>
          <w:rFonts w:asciiTheme="minorHAnsi" w:hAnsiTheme="minorHAnsi" w:cstheme="minorHAnsi"/>
          <w:sz w:val="22"/>
        </w:rPr>
        <w:t xml:space="preserve"> and potential solutions</w:t>
      </w:r>
      <w:r w:rsidR="0026007C" w:rsidRPr="00BB5D86">
        <w:rPr>
          <w:rFonts w:asciiTheme="minorHAnsi" w:hAnsiTheme="minorHAnsi" w:cstheme="minorHAnsi"/>
          <w:sz w:val="22"/>
        </w:rPr>
        <w:t xml:space="preserve">. </w:t>
      </w:r>
    </w:p>
    <w:p w:rsidR="0026007C" w:rsidRPr="00BB5D86" w:rsidRDefault="0026007C" w:rsidP="0026007C">
      <w:pPr>
        <w:rPr>
          <w:rFonts w:asciiTheme="minorHAnsi" w:hAnsiTheme="minorHAnsi" w:cstheme="minorHAnsi"/>
          <w:sz w:val="22"/>
        </w:rPr>
      </w:pPr>
    </w:p>
    <w:p w:rsidR="0026007C" w:rsidRDefault="0026007C" w:rsidP="0026007C">
      <w:pPr>
        <w:rPr>
          <w:rFonts w:asciiTheme="minorHAnsi" w:hAnsiTheme="minorHAnsi" w:cstheme="minorHAnsi"/>
          <w:sz w:val="22"/>
        </w:rPr>
      </w:pPr>
      <w:r w:rsidRPr="00BB5D86">
        <w:rPr>
          <w:rFonts w:asciiTheme="minorHAnsi" w:hAnsiTheme="minorHAnsi" w:cstheme="minorHAnsi"/>
          <w:sz w:val="22"/>
        </w:rPr>
        <w:t xml:space="preserve">The Welfare Rights </w:t>
      </w:r>
      <w:r w:rsidR="00921637">
        <w:rPr>
          <w:rFonts w:asciiTheme="minorHAnsi" w:hAnsiTheme="minorHAnsi" w:cstheme="minorHAnsi"/>
          <w:sz w:val="22"/>
        </w:rPr>
        <w:t>program should be expanded by $1.5</w:t>
      </w:r>
      <w:r w:rsidRPr="00BB5D86">
        <w:rPr>
          <w:rFonts w:asciiTheme="minorHAnsi" w:hAnsiTheme="minorHAnsi" w:cstheme="minorHAnsi"/>
          <w:sz w:val="22"/>
        </w:rPr>
        <w:t xml:space="preserve"> million per year. The expansion of funding would enable a significant increase in the capacity of Welfare Rights services to both assist greater numbers of client, and allow greater expansion of services and supports to </w:t>
      </w:r>
      <w:r w:rsidR="00921637">
        <w:rPr>
          <w:rFonts w:asciiTheme="minorHAnsi" w:hAnsiTheme="minorHAnsi" w:cstheme="minorHAnsi"/>
          <w:sz w:val="22"/>
        </w:rPr>
        <w:t>people in regional and remote areas</w:t>
      </w:r>
      <w:r w:rsidRPr="00BB5D86">
        <w:rPr>
          <w:rFonts w:asciiTheme="minorHAnsi" w:hAnsiTheme="minorHAnsi" w:cstheme="minorHAnsi"/>
          <w:sz w:val="22"/>
        </w:rPr>
        <w:t xml:space="preserve">. </w:t>
      </w:r>
    </w:p>
    <w:p w:rsidR="0026007C" w:rsidRPr="00BB5D86" w:rsidRDefault="0026007C" w:rsidP="0026007C">
      <w:pPr>
        <w:rPr>
          <w:rFonts w:asciiTheme="minorHAnsi" w:hAnsiTheme="minorHAnsi" w:cstheme="minorHAnsi"/>
          <w:sz w:val="22"/>
        </w:rPr>
      </w:pPr>
    </w:p>
    <w:p w:rsidR="0026007C" w:rsidRPr="00BB5D86" w:rsidRDefault="0026007C" w:rsidP="0026007C">
      <w:pPr>
        <w:pBdr>
          <w:top w:val="single" w:sz="4" w:space="1" w:color="auto"/>
          <w:left w:val="single" w:sz="4" w:space="4" w:color="auto"/>
          <w:bottom w:val="single" w:sz="4" w:space="1" w:color="auto"/>
          <w:right w:val="single" w:sz="4" w:space="4" w:color="auto"/>
        </w:pBdr>
        <w:rPr>
          <w:rFonts w:asciiTheme="minorHAnsi" w:hAnsiTheme="minorHAnsi" w:cstheme="minorHAnsi"/>
          <w:b/>
          <w:sz w:val="22"/>
        </w:rPr>
      </w:pPr>
      <w:r w:rsidRPr="00BB5D86">
        <w:rPr>
          <w:rFonts w:asciiTheme="minorHAnsi" w:hAnsiTheme="minorHAnsi" w:cstheme="minorHAnsi"/>
          <w:b/>
          <w:sz w:val="22"/>
        </w:rPr>
        <w:t>Recommendation</w:t>
      </w:r>
      <w:r w:rsidR="000966B1">
        <w:rPr>
          <w:rFonts w:asciiTheme="minorHAnsi" w:hAnsiTheme="minorHAnsi" w:cstheme="minorHAnsi"/>
          <w:b/>
          <w:sz w:val="22"/>
        </w:rPr>
        <w:t xml:space="preserve"> #17</w:t>
      </w:r>
      <w:r w:rsidRPr="00BB5D86">
        <w:rPr>
          <w:rFonts w:asciiTheme="minorHAnsi" w:hAnsiTheme="minorHAnsi" w:cstheme="minorHAnsi"/>
          <w:b/>
          <w:sz w:val="22"/>
        </w:rPr>
        <w:t xml:space="preserve">: </w:t>
      </w:r>
      <w:r w:rsidRPr="000966B1">
        <w:rPr>
          <w:rFonts w:asciiTheme="minorHAnsi" w:hAnsiTheme="minorHAnsi" w:cstheme="minorHAnsi"/>
          <w:sz w:val="22"/>
        </w:rPr>
        <w:t>That Federal Government increase funding for Welfare Rights caseworkers across Austr</w:t>
      </w:r>
      <w:r w:rsidR="00921637" w:rsidRPr="000966B1">
        <w:rPr>
          <w:rFonts w:asciiTheme="minorHAnsi" w:hAnsiTheme="minorHAnsi" w:cstheme="minorHAnsi"/>
          <w:sz w:val="22"/>
        </w:rPr>
        <w:t>alia by $1.5</w:t>
      </w:r>
      <w:r w:rsidRPr="000966B1">
        <w:rPr>
          <w:rFonts w:asciiTheme="minorHAnsi" w:hAnsiTheme="minorHAnsi" w:cstheme="minorHAnsi"/>
          <w:sz w:val="22"/>
        </w:rPr>
        <w:t xml:space="preserve"> million per annum.</w:t>
      </w:r>
    </w:p>
    <w:p w:rsidR="0026007C" w:rsidRPr="00BB5D86" w:rsidRDefault="0026007C" w:rsidP="0026007C">
      <w:pPr>
        <w:rPr>
          <w:rFonts w:asciiTheme="minorHAnsi" w:hAnsiTheme="minorHAnsi" w:cstheme="minorHAnsi"/>
          <w:b/>
          <w:sz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6007C" w:rsidRPr="00BB5D86" w:rsidRDefault="0026007C" w:rsidP="0026007C">
      <w:pPr>
        <w:rPr>
          <w:rFonts w:asciiTheme="minorHAnsi" w:hAnsiTheme="minorHAnsi" w:cstheme="minorHAnsi"/>
          <w:sz w:val="22"/>
        </w:rPr>
      </w:pPr>
    </w:p>
    <w:p w:rsidR="00B67CA3" w:rsidRPr="0026007C" w:rsidRDefault="0026007C" w:rsidP="008D6F44">
      <w:pPr>
        <w:pStyle w:val="Heading2"/>
      </w:pPr>
      <w:bookmarkStart w:id="20" w:name="_Toc379199696"/>
      <w:r w:rsidRPr="0026007C">
        <w:t xml:space="preserve">PART 2 </w:t>
      </w:r>
      <w:r w:rsidR="008D6F44">
        <w:tab/>
      </w:r>
      <w:r w:rsidR="00B67CA3" w:rsidRPr="0026007C">
        <w:t>SAVINGS MEASURES</w:t>
      </w:r>
      <w:bookmarkEnd w:id="20"/>
    </w:p>
    <w:p w:rsidR="00B67CA3" w:rsidRDefault="00B67CA3" w:rsidP="0051283B">
      <w:pPr>
        <w:rPr>
          <w:rFonts w:asciiTheme="minorHAnsi" w:hAnsiTheme="minorHAnsi" w:cstheme="minorHAnsi"/>
          <w:b/>
          <w:sz w:val="22"/>
        </w:rPr>
      </w:pPr>
    </w:p>
    <w:p w:rsidR="000E2500" w:rsidRPr="00FE420F" w:rsidRDefault="000E2500" w:rsidP="008D6F44">
      <w:pPr>
        <w:pStyle w:val="Heading3"/>
        <w:rPr>
          <w:sz w:val="24"/>
          <w:szCs w:val="24"/>
        </w:rPr>
      </w:pPr>
      <w:bookmarkStart w:id="21" w:name="_Toc379199697"/>
      <w:r w:rsidRPr="00FE420F">
        <w:rPr>
          <w:sz w:val="24"/>
          <w:szCs w:val="24"/>
        </w:rPr>
        <w:t>Introduction: review into taxation and family payments required</w:t>
      </w:r>
      <w:bookmarkEnd w:id="21"/>
    </w:p>
    <w:p w:rsidR="000E2500" w:rsidRDefault="000E2500" w:rsidP="0051283B">
      <w:pPr>
        <w:rPr>
          <w:rFonts w:asciiTheme="minorHAnsi" w:hAnsiTheme="minorHAnsi" w:cstheme="minorHAnsi"/>
          <w:b/>
          <w:sz w:val="22"/>
        </w:rPr>
      </w:pPr>
    </w:p>
    <w:p w:rsidR="000E2500" w:rsidRPr="00BB5D86" w:rsidRDefault="000E2500" w:rsidP="000E2500">
      <w:pPr>
        <w:rPr>
          <w:rFonts w:asciiTheme="minorHAnsi" w:hAnsiTheme="minorHAnsi" w:cstheme="minorHAnsi"/>
          <w:sz w:val="22"/>
        </w:rPr>
      </w:pPr>
      <w:r w:rsidRPr="00BB5D86">
        <w:rPr>
          <w:rFonts w:asciiTheme="minorHAnsi" w:hAnsiTheme="minorHAnsi" w:cstheme="minorHAnsi"/>
          <w:sz w:val="22"/>
        </w:rPr>
        <w:t xml:space="preserve">The Government has promised to undertake a review of the taxation system within the next two years. </w:t>
      </w:r>
      <w:r>
        <w:rPr>
          <w:rFonts w:asciiTheme="minorHAnsi" w:hAnsiTheme="minorHAnsi" w:cstheme="minorHAnsi"/>
          <w:sz w:val="22"/>
        </w:rPr>
        <w:t xml:space="preserve"> </w:t>
      </w:r>
      <w:r w:rsidRPr="00BB5D86">
        <w:rPr>
          <w:rFonts w:asciiTheme="minorHAnsi" w:hAnsiTheme="minorHAnsi" w:cstheme="minorHAnsi"/>
          <w:sz w:val="22"/>
        </w:rPr>
        <w:t xml:space="preserve">We urge the Government to initiate a transparent review of our </w:t>
      </w:r>
      <w:r w:rsidR="00FB139C">
        <w:rPr>
          <w:rFonts w:asciiTheme="minorHAnsi" w:hAnsiTheme="minorHAnsi" w:cstheme="minorHAnsi"/>
          <w:sz w:val="22"/>
        </w:rPr>
        <w:t>taxation</w:t>
      </w:r>
      <w:r w:rsidRPr="00BB5D86">
        <w:rPr>
          <w:rFonts w:asciiTheme="minorHAnsi" w:hAnsiTheme="minorHAnsi" w:cstheme="minorHAnsi"/>
          <w:sz w:val="22"/>
        </w:rPr>
        <w:t xml:space="preserve"> system with public submissions and community meetings which would feed into an options paper for broader community </w:t>
      </w:r>
      <w:r>
        <w:rPr>
          <w:rFonts w:asciiTheme="minorHAnsi" w:hAnsiTheme="minorHAnsi" w:cstheme="minorHAnsi"/>
          <w:sz w:val="22"/>
        </w:rPr>
        <w:t xml:space="preserve">consultation. </w:t>
      </w:r>
      <w:r w:rsidR="00B873C2">
        <w:rPr>
          <w:rFonts w:asciiTheme="minorHAnsi" w:hAnsiTheme="minorHAnsi" w:cstheme="minorHAnsi"/>
          <w:sz w:val="22"/>
        </w:rPr>
        <w:t>The IMF recently released a report</w:t>
      </w:r>
      <w:r w:rsidR="00B873C2">
        <w:rPr>
          <w:rStyle w:val="FootnoteReference"/>
          <w:rFonts w:asciiTheme="minorHAnsi" w:hAnsiTheme="minorHAnsi" w:cstheme="minorHAnsi"/>
          <w:sz w:val="22"/>
        </w:rPr>
        <w:footnoteReference w:id="27"/>
      </w:r>
      <w:r w:rsidR="00B873C2">
        <w:rPr>
          <w:rFonts w:asciiTheme="minorHAnsi" w:hAnsiTheme="minorHAnsi" w:cstheme="minorHAnsi"/>
          <w:sz w:val="22"/>
        </w:rPr>
        <w:t xml:space="preserve"> in which Australia was found to forgo more revenue as a proportion of GDP than all other OECD nations.</w:t>
      </w:r>
      <w:r w:rsidR="00B873C2">
        <w:rPr>
          <w:rStyle w:val="FootnoteReference"/>
          <w:rFonts w:asciiTheme="minorHAnsi" w:hAnsiTheme="minorHAnsi" w:cstheme="minorHAnsi"/>
          <w:sz w:val="22"/>
        </w:rPr>
        <w:footnoteReference w:id="28"/>
      </w:r>
      <w:r w:rsidR="00B873C2">
        <w:rPr>
          <w:rFonts w:asciiTheme="minorHAnsi" w:hAnsiTheme="minorHAnsi" w:cstheme="minorHAnsi"/>
          <w:sz w:val="22"/>
        </w:rPr>
        <w:t xml:space="preserve"> </w:t>
      </w:r>
      <w:r w:rsidRPr="00BB5D86">
        <w:rPr>
          <w:rFonts w:asciiTheme="minorHAnsi" w:hAnsiTheme="minorHAnsi" w:cstheme="minorHAnsi"/>
          <w:sz w:val="22"/>
        </w:rPr>
        <w:t xml:space="preserve">It is critical to build on, and not seek to replicate the work and analysis that has already been undertaken by the Henry Tax Review. </w:t>
      </w:r>
    </w:p>
    <w:p w:rsidR="000E2500" w:rsidRDefault="000E2500" w:rsidP="0051283B">
      <w:pPr>
        <w:rPr>
          <w:rFonts w:asciiTheme="minorHAnsi" w:hAnsiTheme="minorHAnsi" w:cstheme="minorHAnsi"/>
          <w:b/>
          <w:sz w:val="22"/>
        </w:rPr>
      </w:pPr>
    </w:p>
    <w:p w:rsidR="000E2500" w:rsidRPr="00BB5D86" w:rsidRDefault="000E2500" w:rsidP="000E2500">
      <w:pPr>
        <w:rPr>
          <w:rFonts w:asciiTheme="minorHAnsi" w:hAnsiTheme="minorHAnsi" w:cstheme="minorHAnsi"/>
          <w:sz w:val="22"/>
        </w:rPr>
      </w:pPr>
      <w:r w:rsidRPr="00BB5D86">
        <w:rPr>
          <w:rFonts w:asciiTheme="minorHAnsi" w:hAnsiTheme="minorHAnsi" w:cstheme="minorHAnsi"/>
          <w:sz w:val="22"/>
        </w:rPr>
        <w:t>The Australian Council of Social Services had produced a detailed paper for reform of the family payments system. Government should assess and respond to these proposals for improving the system, and engage with the community about measures to make the system fairer and more sustainable. While the Schoolkids Bonus payment is poorly targeted</w:t>
      </w:r>
      <w:r w:rsidR="00BC73BA">
        <w:rPr>
          <w:rFonts w:asciiTheme="minorHAnsi" w:hAnsiTheme="minorHAnsi" w:cstheme="minorHAnsi"/>
          <w:sz w:val="22"/>
        </w:rPr>
        <w:t>,</w:t>
      </w:r>
      <w:r w:rsidRPr="00BB5D86">
        <w:rPr>
          <w:rFonts w:asciiTheme="minorHAnsi" w:hAnsiTheme="minorHAnsi" w:cstheme="minorHAnsi"/>
          <w:sz w:val="22"/>
        </w:rPr>
        <w:t xml:space="preserve"> it does provide vital assistance to low income families who are trying to survive on low and inadequate income support payments.</w:t>
      </w:r>
    </w:p>
    <w:p w:rsidR="000E2500" w:rsidRPr="00BB5D86" w:rsidRDefault="000E2500" w:rsidP="000E2500">
      <w:pPr>
        <w:jc w:val="both"/>
        <w:rPr>
          <w:rFonts w:asciiTheme="minorHAnsi" w:hAnsiTheme="minorHAnsi" w:cstheme="minorHAnsi"/>
          <w:color w:val="4A442A" w:themeColor="background2" w:themeShade="40"/>
          <w:sz w:val="22"/>
          <w:lang w:eastAsia="en-AU"/>
        </w:rPr>
      </w:pPr>
    </w:p>
    <w:p w:rsidR="000E2500" w:rsidRPr="00BB5D86" w:rsidRDefault="000E2500" w:rsidP="000E2500">
      <w:pPr>
        <w:rPr>
          <w:rFonts w:asciiTheme="minorHAnsi" w:hAnsiTheme="minorHAnsi" w:cstheme="minorHAnsi"/>
          <w:sz w:val="22"/>
        </w:rPr>
      </w:pPr>
      <w:r w:rsidRPr="00BB5D86">
        <w:rPr>
          <w:rFonts w:asciiTheme="minorHAnsi" w:hAnsiTheme="minorHAnsi" w:cstheme="minorHAnsi"/>
          <w:sz w:val="22"/>
        </w:rPr>
        <w:t>The NWRN would support means testing the</w:t>
      </w:r>
      <w:r w:rsidR="00BC73BA">
        <w:rPr>
          <w:rFonts w:asciiTheme="minorHAnsi" w:hAnsiTheme="minorHAnsi" w:cstheme="minorHAnsi"/>
          <w:sz w:val="22"/>
        </w:rPr>
        <w:t xml:space="preserve"> Schoolkids</w:t>
      </w:r>
      <w:r w:rsidRPr="00BB5D86">
        <w:rPr>
          <w:rFonts w:asciiTheme="minorHAnsi" w:hAnsiTheme="minorHAnsi" w:cstheme="minorHAnsi"/>
          <w:sz w:val="22"/>
        </w:rPr>
        <w:t xml:space="preserve"> Bonus such that it is only available to those who receive Family Tax Benefit A at the maximum rate. This threshold stands at $48,837 during the quarter ending 31 December 2013. </w:t>
      </w:r>
    </w:p>
    <w:p w:rsidR="000E2500" w:rsidRPr="00BB5D86" w:rsidRDefault="000E2500" w:rsidP="000E2500">
      <w:pPr>
        <w:rPr>
          <w:rFonts w:asciiTheme="minorHAnsi" w:hAnsiTheme="minorHAnsi" w:cstheme="minorHAnsi"/>
          <w:sz w:val="22"/>
        </w:rPr>
      </w:pPr>
    </w:p>
    <w:p w:rsidR="00BC73BA" w:rsidRDefault="000E2500" w:rsidP="000E2500">
      <w:pPr>
        <w:rPr>
          <w:rFonts w:asciiTheme="minorHAnsi" w:hAnsiTheme="minorHAnsi" w:cstheme="minorHAnsi"/>
          <w:sz w:val="22"/>
        </w:rPr>
      </w:pPr>
      <w:r w:rsidRPr="00BB5D86">
        <w:rPr>
          <w:rFonts w:asciiTheme="minorHAnsi" w:hAnsiTheme="minorHAnsi" w:cstheme="minorHAnsi"/>
          <w:sz w:val="22"/>
        </w:rPr>
        <w:t>The NWRN does not support the calls by some to reduce the income threshold for payment of general family tax benefits to a uniform median weekly earnings $64,168 beyond which no benefit is payable, as this could cause financial hardship to many.  This proposal needs much greater examination</w:t>
      </w:r>
      <w:r w:rsidR="00BC73BA">
        <w:rPr>
          <w:rFonts w:asciiTheme="minorHAnsi" w:hAnsiTheme="minorHAnsi" w:cstheme="minorHAnsi"/>
          <w:sz w:val="22"/>
        </w:rPr>
        <w:t>.</w:t>
      </w:r>
    </w:p>
    <w:p w:rsidR="000E2500" w:rsidRDefault="000E2500" w:rsidP="000E2500">
      <w:pPr>
        <w:rPr>
          <w:rFonts w:asciiTheme="minorHAnsi" w:hAnsiTheme="minorHAnsi" w:cstheme="minorHAnsi"/>
          <w:sz w:val="22"/>
        </w:rPr>
      </w:pPr>
    </w:p>
    <w:p w:rsidR="000E2500" w:rsidRDefault="000E2500" w:rsidP="000E2500">
      <w:pPr>
        <w:rPr>
          <w:rFonts w:asciiTheme="minorHAnsi" w:hAnsiTheme="minorHAnsi" w:cstheme="minorHAnsi"/>
          <w:sz w:val="22"/>
        </w:rPr>
      </w:pPr>
      <w:r>
        <w:rPr>
          <w:rFonts w:asciiTheme="minorHAnsi" w:hAnsiTheme="minorHAnsi" w:cstheme="minorHAnsi"/>
          <w:sz w:val="22"/>
        </w:rPr>
        <w:t>In our submission below, we make recommendations for savings in three areas, social security, taxation and family assistance.</w:t>
      </w:r>
    </w:p>
    <w:p w:rsidR="0026007C" w:rsidRPr="00BB5D86" w:rsidRDefault="0026007C" w:rsidP="000E2500">
      <w:pPr>
        <w:rPr>
          <w:rFonts w:asciiTheme="minorHAnsi" w:hAnsiTheme="minorHAnsi" w:cstheme="minorHAnsi"/>
          <w:sz w:val="22"/>
        </w:rPr>
      </w:pPr>
    </w:p>
    <w:p w:rsidR="000E2500" w:rsidRPr="000E2500" w:rsidRDefault="000E2500" w:rsidP="008D6F44">
      <w:pPr>
        <w:pStyle w:val="Heading2"/>
      </w:pPr>
      <w:bookmarkStart w:id="22" w:name="_Toc379199698"/>
      <w:r w:rsidRPr="000E2500">
        <w:t>Social security</w:t>
      </w:r>
      <w:r w:rsidR="00B425E9">
        <w:t xml:space="preserve"> and family assistance </w:t>
      </w:r>
      <w:r w:rsidRPr="000E2500">
        <w:t>savings options</w:t>
      </w:r>
      <w:bookmarkEnd w:id="22"/>
      <w:r w:rsidRPr="000E2500">
        <w:t xml:space="preserve"> </w:t>
      </w:r>
    </w:p>
    <w:p w:rsidR="000E2500" w:rsidRPr="00FE420F" w:rsidRDefault="000E2500" w:rsidP="008D6F44">
      <w:pPr>
        <w:pStyle w:val="Heading3"/>
        <w:rPr>
          <w:sz w:val="24"/>
          <w:szCs w:val="24"/>
        </w:rPr>
      </w:pPr>
      <w:bookmarkStart w:id="23" w:name="_Toc379199699"/>
      <w:r w:rsidRPr="00FE420F">
        <w:rPr>
          <w:sz w:val="24"/>
          <w:szCs w:val="24"/>
        </w:rPr>
        <w:t>Income Management</w:t>
      </w:r>
      <w:bookmarkEnd w:id="23"/>
    </w:p>
    <w:p w:rsidR="000E2500" w:rsidRPr="00BB5D86" w:rsidRDefault="000E2500" w:rsidP="000E2500">
      <w:pPr>
        <w:jc w:val="both"/>
        <w:rPr>
          <w:rFonts w:asciiTheme="minorHAnsi" w:hAnsiTheme="minorHAnsi" w:cstheme="minorHAnsi"/>
          <w:b/>
          <w:bCs/>
          <w:iCs/>
          <w:sz w:val="22"/>
          <w:lang w:eastAsia="en-AU"/>
        </w:rPr>
      </w:pPr>
    </w:p>
    <w:p w:rsidR="000E2500" w:rsidRPr="00BB5D86" w:rsidRDefault="000E2500" w:rsidP="000E2500">
      <w:pPr>
        <w:jc w:val="both"/>
        <w:rPr>
          <w:rFonts w:asciiTheme="minorHAnsi" w:hAnsiTheme="minorHAnsi" w:cstheme="minorHAnsi"/>
          <w:sz w:val="22"/>
          <w:lang w:eastAsia="en-AU"/>
        </w:rPr>
      </w:pPr>
      <w:r w:rsidRPr="00BB5D86">
        <w:rPr>
          <w:rFonts w:asciiTheme="minorHAnsi" w:hAnsiTheme="minorHAnsi" w:cstheme="minorHAnsi"/>
          <w:sz w:val="22"/>
          <w:lang w:eastAsia="en-AU"/>
        </w:rPr>
        <w:t>Under income management</w:t>
      </w:r>
      <w:r w:rsidR="00BC73BA">
        <w:rPr>
          <w:rFonts w:asciiTheme="minorHAnsi" w:hAnsiTheme="minorHAnsi" w:cstheme="minorHAnsi"/>
          <w:sz w:val="22"/>
          <w:lang w:eastAsia="en-AU"/>
        </w:rPr>
        <w:t xml:space="preserve"> a</w:t>
      </w:r>
      <w:r w:rsidRPr="00BB5D86">
        <w:rPr>
          <w:rFonts w:asciiTheme="minorHAnsi" w:hAnsiTheme="minorHAnsi" w:cstheme="minorHAnsi"/>
          <w:sz w:val="22"/>
          <w:lang w:eastAsia="en-AU"/>
        </w:rPr>
        <w:t xml:space="preserve"> half</w:t>
      </w:r>
      <w:r w:rsidR="00BC73BA">
        <w:rPr>
          <w:rFonts w:asciiTheme="minorHAnsi" w:hAnsiTheme="minorHAnsi" w:cstheme="minorHAnsi"/>
          <w:sz w:val="22"/>
          <w:lang w:eastAsia="en-AU"/>
        </w:rPr>
        <w:t xml:space="preserve"> or more</w:t>
      </w:r>
      <w:r w:rsidRPr="00BB5D86">
        <w:rPr>
          <w:rFonts w:asciiTheme="minorHAnsi" w:hAnsiTheme="minorHAnsi" w:cstheme="minorHAnsi"/>
          <w:sz w:val="22"/>
          <w:lang w:eastAsia="en-AU"/>
        </w:rPr>
        <w:t xml:space="preserve"> of a person’s Centrelink payments are generally only accessible through the use of a Basics Card. The Basics Card can only be used to purchase a prescribed list of goods and services that are authorised by Centrelink.  Compulsory income management </w:t>
      </w:r>
      <w:r w:rsidR="00BC73BA">
        <w:rPr>
          <w:rFonts w:asciiTheme="minorHAnsi" w:hAnsiTheme="minorHAnsi" w:cstheme="minorHAnsi"/>
          <w:sz w:val="22"/>
          <w:lang w:eastAsia="en-AU"/>
        </w:rPr>
        <w:t>is</w:t>
      </w:r>
      <w:r w:rsidRPr="00BB5D86">
        <w:rPr>
          <w:rFonts w:asciiTheme="minorHAnsi" w:hAnsiTheme="minorHAnsi" w:cstheme="minorHAnsi"/>
          <w:sz w:val="22"/>
          <w:lang w:eastAsia="en-AU"/>
        </w:rPr>
        <w:t xml:space="preserve"> on most occasions imposed on the basis of what sort of payment the person receives, as opposed to any objective assessment of financial hardship or an inability to manage their financial affairs. </w:t>
      </w:r>
    </w:p>
    <w:p w:rsidR="000E2500" w:rsidRPr="00BB5D86" w:rsidRDefault="000E2500" w:rsidP="000E2500">
      <w:pPr>
        <w:jc w:val="both"/>
        <w:rPr>
          <w:rFonts w:asciiTheme="minorHAnsi" w:hAnsiTheme="minorHAnsi" w:cstheme="minorHAnsi"/>
          <w:sz w:val="22"/>
          <w:lang w:eastAsia="en-AU"/>
        </w:rPr>
      </w:pPr>
    </w:p>
    <w:p w:rsidR="000E2500" w:rsidRPr="00BB5D86" w:rsidRDefault="000E2500" w:rsidP="000E2500">
      <w:pPr>
        <w:jc w:val="both"/>
        <w:rPr>
          <w:rFonts w:asciiTheme="minorHAnsi" w:hAnsiTheme="minorHAnsi" w:cstheme="minorHAnsi"/>
          <w:sz w:val="22"/>
        </w:rPr>
      </w:pPr>
      <w:r w:rsidRPr="00BB5D86">
        <w:rPr>
          <w:rFonts w:asciiTheme="minorHAnsi" w:hAnsiTheme="minorHAnsi" w:cstheme="minorHAnsi"/>
          <w:sz w:val="22"/>
        </w:rPr>
        <w:t>At November 2013, there were 23,996 people subject to income management Australia-wide. Almost three-quarter were mandatory participants, with 26% voluntary participants in the scheme.</w:t>
      </w:r>
      <w:r w:rsidRPr="00BB5D86">
        <w:rPr>
          <w:rStyle w:val="FootnoteReference"/>
          <w:rFonts w:asciiTheme="minorHAnsi" w:hAnsiTheme="minorHAnsi" w:cstheme="minorHAnsi"/>
          <w:sz w:val="22"/>
        </w:rPr>
        <w:footnoteReference w:id="29"/>
      </w:r>
      <w:r w:rsidRPr="00BB5D86">
        <w:rPr>
          <w:rFonts w:asciiTheme="minorHAnsi" w:hAnsiTheme="minorHAnsi" w:cstheme="minorHAnsi"/>
          <w:sz w:val="22"/>
        </w:rPr>
        <w:t xml:space="preserve"> </w:t>
      </w:r>
    </w:p>
    <w:p w:rsidR="000E2500" w:rsidRPr="00BB5D86" w:rsidRDefault="000E2500" w:rsidP="000E2500">
      <w:pPr>
        <w:jc w:val="both"/>
        <w:rPr>
          <w:rFonts w:asciiTheme="minorHAnsi" w:hAnsiTheme="minorHAnsi" w:cstheme="minorHAnsi"/>
          <w:sz w:val="22"/>
        </w:rPr>
      </w:pPr>
    </w:p>
    <w:p w:rsidR="000E2500" w:rsidRPr="00BB5D86" w:rsidRDefault="000E2500" w:rsidP="000E2500">
      <w:pPr>
        <w:jc w:val="both"/>
        <w:rPr>
          <w:rFonts w:asciiTheme="minorHAnsi" w:hAnsiTheme="minorHAnsi" w:cstheme="minorHAnsi"/>
          <w:sz w:val="22"/>
        </w:rPr>
      </w:pPr>
      <w:r w:rsidRPr="00BB5D86">
        <w:rPr>
          <w:rFonts w:asciiTheme="minorHAnsi" w:hAnsiTheme="minorHAnsi" w:cstheme="minorHAnsi"/>
          <w:sz w:val="22"/>
        </w:rPr>
        <w:t xml:space="preserve">There were 18,892 people are under income management at October 2013 in the Northern Territory. </w:t>
      </w:r>
    </w:p>
    <w:p w:rsidR="000E2500" w:rsidRPr="00BB5D86" w:rsidRDefault="000E2500" w:rsidP="000E2500">
      <w:pPr>
        <w:jc w:val="both"/>
        <w:rPr>
          <w:rFonts w:asciiTheme="minorHAnsi" w:hAnsiTheme="minorHAnsi" w:cstheme="minorHAnsi"/>
          <w:sz w:val="22"/>
        </w:rPr>
      </w:pPr>
    </w:p>
    <w:p w:rsidR="000E2500" w:rsidRPr="00BB5D86" w:rsidRDefault="000E2500" w:rsidP="000E2500">
      <w:pPr>
        <w:jc w:val="both"/>
        <w:rPr>
          <w:rFonts w:asciiTheme="minorHAnsi" w:hAnsiTheme="minorHAnsi" w:cstheme="minorHAnsi"/>
          <w:sz w:val="22"/>
        </w:rPr>
      </w:pPr>
      <w:r w:rsidRPr="00BB5D86">
        <w:rPr>
          <w:rFonts w:asciiTheme="minorHAnsi" w:hAnsiTheme="minorHAnsi" w:cstheme="minorHAnsi"/>
          <w:sz w:val="22"/>
        </w:rPr>
        <w:t xml:space="preserve">Six years into the intervention, and three years after the </w:t>
      </w:r>
      <w:r w:rsidRPr="00BB5D86">
        <w:rPr>
          <w:rFonts w:asciiTheme="minorHAnsi" w:hAnsiTheme="minorHAnsi" w:cstheme="minorHAnsi"/>
          <w:i/>
          <w:sz w:val="22"/>
        </w:rPr>
        <w:t>Racial Discrimination Act</w:t>
      </w:r>
      <w:r w:rsidRPr="00BB5D86">
        <w:rPr>
          <w:rFonts w:asciiTheme="minorHAnsi" w:hAnsiTheme="minorHAnsi" w:cstheme="minorHAnsi"/>
          <w:sz w:val="22"/>
        </w:rPr>
        <w:t xml:space="preserve"> was restored, nine out of every ten people subject to the welfare quarantine are Indigenous income support recipients, while the number of people on ‘voluntary’ income management’ continues to decline. Voluntary participation fell from 4,560 in April 2011 to 3,770 in October 2013, a fall of 18%. Just 31 people have managed to achieve the maximum $500 in savings to qualify for the ‘matched savings’ scheme. </w:t>
      </w:r>
    </w:p>
    <w:p w:rsidR="000E2500" w:rsidRPr="00BB5D86" w:rsidRDefault="000E2500" w:rsidP="000E2500">
      <w:pPr>
        <w:jc w:val="both"/>
        <w:rPr>
          <w:rFonts w:asciiTheme="minorHAnsi" w:hAnsiTheme="minorHAnsi" w:cstheme="minorHAnsi"/>
          <w:sz w:val="22"/>
        </w:rPr>
      </w:pPr>
    </w:p>
    <w:p w:rsidR="000E2500" w:rsidRPr="00BB5D86" w:rsidRDefault="000E2500" w:rsidP="000E2500">
      <w:pPr>
        <w:jc w:val="both"/>
        <w:rPr>
          <w:rFonts w:asciiTheme="minorHAnsi" w:hAnsiTheme="minorHAnsi" w:cstheme="minorHAnsi"/>
          <w:sz w:val="22"/>
          <w:lang w:eastAsia="en-AU"/>
        </w:rPr>
      </w:pPr>
      <w:r w:rsidRPr="00BB5D86">
        <w:rPr>
          <w:rFonts w:asciiTheme="minorHAnsi" w:hAnsiTheme="minorHAnsi" w:cstheme="minorHAnsi"/>
          <w:sz w:val="22"/>
          <w:lang w:eastAsia="en-AU"/>
        </w:rPr>
        <w:t xml:space="preserve">Nationally, hundreds of millions of dollars has been spent on income management to date without hard evidence to suggest that income management is having a positive impact on people’s lives. The cost of income managing some people is over 60% of the basic yearly rate of the Newstart Allowance.   </w:t>
      </w:r>
      <w:r w:rsidR="005512F4" w:rsidRPr="00160331">
        <w:rPr>
          <w:rFonts w:asciiTheme="minorHAnsi" w:hAnsiTheme="minorHAnsi" w:cstheme="minorHAnsi"/>
          <w:sz w:val="22"/>
        </w:rPr>
        <w:t>Between 2005-06 and 2014-15, Income Management will cost $1 billion according to estimates by the Parliamentary Library.</w:t>
      </w:r>
      <w:r w:rsidR="005512F4" w:rsidRPr="00160331">
        <w:rPr>
          <w:rStyle w:val="FootnoteReference"/>
          <w:rFonts w:asciiTheme="minorHAnsi" w:hAnsiTheme="minorHAnsi" w:cstheme="minorHAnsi"/>
          <w:sz w:val="22"/>
        </w:rPr>
        <w:footnoteReference w:id="30"/>
      </w:r>
    </w:p>
    <w:p w:rsidR="000E2500" w:rsidRPr="00BB5D86" w:rsidRDefault="000E2500" w:rsidP="000E2500">
      <w:pPr>
        <w:jc w:val="both"/>
        <w:rPr>
          <w:rFonts w:asciiTheme="minorHAnsi" w:hAnsiTheme="minorHAnsi" w:cstheme="minorHAnsi"/>
          <w:sz w:val="22"/>
          <w:lang w:eastAsia="en-AU"/>
        </w:rPr>
      </w:pPr>
    </w:p>
    <w:p w:rsidR="000E2500" w:rsidRPr="00BB5D86" w:rsidRDefault="000E2500" w:rsidP="000E2500">
      <w:pPr>
        <w:jc w:val="both"/>
        <w:rPr>
          <w:rFonts w:asciiTheme="minorHAnsi" w:hAnsiTheme="minorHAnsi" w:cstheme="minorHAnsi"/>
          <w:sz w:val="22"/>
          <w:lang w:eastAsia="en-AU"/>
        </w:rPr>
      </w:pPr>
      <w:r w:rsidRPr="00BB5D86">
        <w:rPr>
          <w:rFonts w:asciiTheme="minorHAnsi" w:hAnsiTheme="minorHAnsi" w:cstheme="minorHAnsi"/>
          <w:sz w:val="22"/>
          <w:lang w:eastAsia="en-AU"/>
        </w:rPr>
        <w:t xml:space="preserve">Critically, no evidence has been presented that quarantining half of a person’s income support reduces unemployment or long term reliance on </w:t>
      </w:r>
      <w:r w:rsidR="00BC73BA">
        <w:rPr>
          <w:rFonts w:asciiTheme="minorHAnsi" w:hAnsiTheme="minorHAnsi" w:cstheme="minorHAnsi"/>
          <w:sz w:val="22"/>
          <w:lang w:eastAsia="en-AU"/>
        </w:rPr>
        <w:t>s</w:t>
      </w:r>
      <w:r w:rsidRPr="00BB5D86">
        <w:rPr>
          <w:rFonts w:asciiTheme="minorHAnsi" w:hAnsiTheme="minorHAnsi" w:cstheme="minorHAnsi"/>
          <w:sz w:val="22"/>
          <w:lang w:eastAsia="en-AU"/>
        </w:rPr>
        <w:t xml:space="preserve">ocial </w:t>
      </w:r>
      <w:r w:rsidR="00BC73BA">
        <w:rPr>
          <w:rFonts w:asciiTheme="minorHAnsi" w:hAnsiTheme="minorHAnsi" w:cstheme="minorHAnsi"/>
          <w:sz w:val="22"/>
          <w:lang w:eastAsia="en-AU"/>
        </w:rPr>
        <w:t>s</w:t>
      </w:r>
      <w:r w:rsidRPr="00BB5D86">
        <w:rPr>
          <w:rFonts w:asciiTheme="minorHAnsi" w:hAnsiTheme="minorHAnsi" w:cstheme="minorHAnsi"/>
          <w:sz w:val="22"/>
          <w:lang w:eastAsia="en-AU"/>
        </w:rPr>
        <w:t xml:space="preserve">ecurity payments. </w:t>
      </w:r>
    </w:p>
    <w:p w:rsidR="000E2500" w:rsidRPr="00BB5D86" w:rsidRDefault="000E2500" w:rsidP="000E2500">
      <w:pPr>
        <w:jc w:val="both"/>
        <w:rPr>
          <w:rFonts w:asciiTheme="minorHAnsi" w:hAnsiTheme="minorHAnsi" w:cstheme="minorHAnsi"/>
          <w:sz w:val="22"/>
        </w:rPr>
      </w:pPr>
    </w:p>
    <w:p w:rsidR="000E2500" w:rsidRPr="00BB5D86" w:rsidRDefault="000E2500" w:rsidP="000E2500">
      <w:pPr>
        <w:jc w:val="both"/>
        <w:rPr>
          <w:rFonts w:asciiTheme="minorHAnsi" w:hAnsiTheme="minorHAnsi" w:cstheme="minorHAnsi"/>
          <w:sz w:val="22"/>
        </w:rPr>
      </w:pPr>
      <w:r w:rsidRPr="00BB5D86">
        <w:rPr>
          <w:rFonts w:asciiTheme="minorHAnsi" w:hAnsiTheme="minorHAnsi" w:cstheme="minorHAnsi"/>
          <w:sz w:val="22"/>
        </w:rPr>
        <w:t>The lack of evidence regarding the effectiveness of income management and the high cost of administration – of up to $7,900 per person each year – should act as a constraint on moves to expand the scheme more widely.</w:t>
      </w:r>
      <w:r w:rsidR="00FB139C">
        <w:rPr>
          <w:rStyle w:val="FootnoteReference"/>
          <w:rFonts w:asciiTheme="minorHAnsi" w:hAnsiTheme="minorHAnsi" w:cstheme="minorHAnsi"/>
          <w:sz w:val="22"/>
        </w:rPr>
        <w:footnoteReference w:id="31"/>
      </w:r>
    </w:p>
    <w:p w:rsidR="000E2500" w:rsidRPr="00BB5D86" w:rsidRDefault="000E2500" w:rsidP="000E2500">
      <w:pPr>
        <w:jc w:val="both"/>
        <w:rPr>
          <w:rFonts w:asciiTheme="minorHAnsi" w:hAnsiTheme="minorHAnsi" w:cstheme="minorHAnsi"/>
          <w:sz w:val="22"/>
          <w:lang w:eastAsia="en-AU"/>
        </w:rPr>
      </w:pPr>
    </w:p>
    <w:p w:rsidR="000E2500" w:rsidRPr="00BB5D86" w:rsidRDefault="000E2500" w:rsidP="000E2500">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lang w:eastAsia="en-AU"/>
        </w:rPr>
      </w:pPr>
      <w:r w:rsidRPr="00BB5D86">
        <w:rPr>
          <w:rFonts w:asciiTheme="minorHAnsi" w:hAnsiTheme="minorHAnsi" w:cstheme="minorHAnsi"/>
          <w:b/>
          <w:sz w:val="22"/>
          <w:lang w:eastAsia="en-AU"/>
        </w:rPr>
        <w:t>Recommendation</w:t>
      </w:r>
      <w:r w:rsidR="000966B1">
        <w:rPr>
          <w:rFonts w:asciiTheme="minorHAnsi" w:hAnsiTheme="minorHAnsi" w:cstheme="minorHAnsi"/>
          <w:b/>
          <w:sz w:val="22"/>
          <w:lang w:eastAsia="en-AU"/>
        </w:rPr>
        <w:t xml:space="preserve"> #18</w:t>
      </w:r>
      <w:r w:rsidRPr="00BB5D86">
        <w:rPr>
          <w:rFonts w:asciiTheme="minorHAnsi" w:hAnsiTheme="minorHAnsi" w:cstheme="minorHAnsi"/>
          <w:b/>
          <w:sz w:val="22"/>
          <w:lang w:eastAsia="en-AU"/>
        </w:rPr>
        <w:t>:</w:t>
      </w:r>
      <w:r w:rsidRPr="000966B1">
        <w:rPr>
          <w:rFonts w:asciiTheme="minorHAnsi" w:hAnsiTheme="minorHAnsi" w:cstheme="minorHAnsi"/>
          <w:sz w:val="22"/>
          <w:lang w:eastAsia="en-AU"/>
        </w:rPr>
        <w:t xml:space="preserve"> That the Government abolish Compulsory Income Management and introduce a genuinely voluntary scheme of income management for people who believe they would benefit from this program.</w:t>
      </w:r>
    </w:p>
    <w:p w:rsidR="000E2500" w:rsidRPr="00BB5D86" w:rsidRDefault="000E2500" w:rsidP="000E2500">
      <w:pPr>
        <w:rPr>
          <w:rFonts w:asciiTheme="minorHAnsi" w:hAnsiTheme="minorHAnsi" w:cstheme="minorHAnsi"/>
          <w:b/>
          <w:sz w:val="22"/>
        </w:rPr>
      </w:pPr>
    </w:p>
    <w:p w:rsidR="000E2500" w:rsidRPr="00FE420F" w:rsidRDefault="000E2500" w:rsidP="008D6F44">
      <w:pPr>
        <w:pStyle w:val="Heading3"/>
        <w:rPr>
          <w:sz w:val="24"/>
          <w:szCs w:val="24"/>
        </w:rPr>
      </w:pPr>
      <w:bookmarkStart w:id="24" w:name="_Toc379199700"/>
      <w:r w:rsidRPr="00FE420F">
        <w:rPr>
          <w:sz w:val="24"/>
          <w:szCs w:val="24"/>
        </w:rPr>
        <w:t>Abolish the Seniors Supplement</w:t>
      </w:r>
      <w:bookmarkEnd w:id="24"/>
    </w:p>
    <w:p w:rsidR="000E2500" w:rsidRPr="00BB5D86" w:rsidRDefault="000E2500" w:rsidP="000E2500">
      <w:pPr>
        <w:rPr>
          <w:rFonts w:asciiTheme="minorHAnsi" w:hAnsiTheme="minorHAnsi" w:cstheme="minorHAnsi"/>
          <w:sz w:val="22"/>
        </w:rPr>
      </w:pPr>
    </w:p>
    <w:p w:rsidR="001A6B4F" w:rsidRDefault="001A6B4F" w:rsidP="000E2500">
      <w:pPr>
        <w:rPr>
          <w:rFonts w:asciiTheme="minorHAnsi" w:hAnsiTheme="minorHAnsi" w:cstheme="minorHAnsi"/>
          <w:sz w:val="22"/>
          <w:szCs w:val="22"/>
        </w:rPr>
      </w:pPr>
      <w:r>
        <w:rPr>
          <w:rFonts w:asciiTheme="minorHAnsi" w:hAnsiTheme="minorHAnsi" w:cstheme="minorHAnsi"/>
          <w:sz w:val="22"/>
          <w:szCs w:val="22"/>
        </w:rPr>
        <w:t xml:space="preserve">As a matter of general principle, the NWRN supports benefits based on need as opposed to age alone. </w:t>
      </w:r>
    </w:p>
    <w:p w:rsidR="001A6B4F" w:rsidRDefault="001A6B4F" w:rsidP="000E2500">
      <w:pPr>
        <w:rPr>
          <w:rFonts w:asciiTheme="minorHAnsi" w:hAnsiTheme="minorHAnsi" w:cstheme="minorHAnsi"/>
          <w:sz w:val="22"/>
          <w:szCs w:val="22"/>
        </w:rPr>
      </w:pPr>
    </w:p>
    <w:p w:rsidR="000E2500" w:rsidRPr="00BB5D86" w:rsidRDefault="000E2500" w:rsidP="000E2500">
      <w:pPr>
        <w:rPr>
          <w:rFonts w:asciiTheme="minorHAnsi" w:hAnsiTheme="minorHAnsi" w:cstheme="minorHAnsi"/>
          <w:sz w:val="22"/>
        </w:rPr>
      </w:pPr>
      <w:r w:rsidRPr="00BB5D86">
        <w:rPr>
          <w:rFonts w:asciiTheme="minorHAnsi" w:hAnsiTheme="minorHAnsi" w:cstheme="minorHAnsi"/>
          <w:sz w:val="22"/>
        </w:rPr>
        <w:t xml:space="preserve">The Seniors Supplement is </w:t>
      </w:r>
      <w:r w:rsidR="006F31E2">
        <w:rPr>
          <w:rFonts w:asciiTheme="minorHAnsi" w:hAnsiTheme="minorHAnsi" w:cstheme="minorHAnsi"/>
          <w:sz w:val="22"/>
        </w:rPr>
        <w:t>available</w:t>
      </w:r>
      <w:r w:rsidR="006F31E2" w:rsidRPr="00BB5D86">
        <w:rPr>
          <w:rFonts w:asciiTheme="minorHAnsi" w:hAnsiTheme="minorHAnsi" w:cstheme="minorHAnsi"/>
          <w:sz w:val="22"/>
        </w:rPr>
        <w:t xml:space="preserve"> </w:t>
      </w:r>
      <w:r w:rsidRPr="00BB5D86">
        <w:rPr>
          <w:rFonts w:asciiTheme="minorHAnsi" w:hAnsiTheme="minorHAnsi" w:cstheme="minorHAnsi"/>
          <w:sz w:val="22"/>
        </w:rPr>
        <w:t>to all Commonwealth Seniors Health Card (CSHC) holders or Department of Veterans' Affairs Gold Card holders.</w:t>
      </w:r>
      <w:r w:rsidRPr="00BB5D86">
        <w:rPr>
          <w:rStyle w:val="FootnoteReference"/>
          <w:rFonts w:asciiTheme="minorHAnsi" w:hAnsiTheme="minorHAnsi" w:cstheme="minorHAnsi"/>
          <w:sz w:val="22"/>
        </w:rPr>
        <w:footnoteReference w:id="32"/>
      </w:r>
      <w:r w:rsidRPr="00BB5D86">
        <w:rPr>
          <w:rFonts w:asciiTheme="minorHAnsi" w:hAnsiTheme="minorHAnsi" w:cstheme="minorHAnsi"/>
          <w:sz w:val="22"/>
        </w:rPr>
        <w:t xml:space="preserve"> It </w:t>
      </w:r>
      <w:r w:rsidR="006F31E2">
        <w:rPr>
          <w:rFonts w:asciiTheme="minorHAnsi" w:hAnsiTheme="minorHAnsi" w:cstheme="minorHAnsi"/>
          <w:sz w:val="22"/>
        </w:rPr>
        <w:t xml:space="preserve">worth </w:t>
      </w:r>
      <w:r w:rsidRPr="00BB5D86">
        <w:rPr>
          <w:rFonts w:asciiTheme="minorHAnsi" w:hAnsiTheme="minorHAnsi" w:cstheme="minorHAnsi"/>
          <w:sz w:val="22"/>
        </w:rPr>
        <w:t xml:space="preserve">$858.00 a year for a single person and $647.40 a year each if partnered. It is paid each quarter and is non-taxable. Individuals can qualify is their income as a single person is less than $50,000 or $80,000 as a couple combined. </w:t>
      </w:r>
    </w:p>
    <w:p w:rsidR="000E2500" w:rsidRPr="00BB5D86" w:rsidRDefault="000E2500" w:rsidP="000E2500">
      <w:pPr>
        <w:rPr>
          <w:rFonts w:asciiTheme="minorHAnsi" w:hAnsiTheme="minorHAnsi" w:cstheme="minorHAnsi"/>
          <w:sz w:val="22"/>
        </w:rPr>
      </w:pPr>
    </w:p>
    <w:p w:rsidR="000E2500" w:rsidRPr="00BB5D86" w:rsidRDefault="000E2500" w:rsidP="000E2500">
      <w:pPr>
        <w:rPr>
          <w:rFonts w:asciiTheme="minorHAnsi" w:hAnsiTheme="minorHAnsi" w:cstheme="minorHAnsi"/>
          <w:sz w:val="22"/>
        </w:rPr>
      </w:pPr>
      <w:r w:rsidRPr="00BB5D86">
        <w:rPr>
          <w:rFonts w:asciiTheme="minorHAnsi" w:hAnsiTheme="minorHAnsi" w:cstheme="minorHAnsi"/>
          <w:sz w:val="22"/>
        </w:rPr>
        <w:t xml:space="preserve">The Government </w:t>
      </w:r>
      <w:r w:rsidR="00BC73BA">
        <w:rPr>
          <w:rFonts w:asciiTheme="minorHAnsi" w:hAnsiTheme="minorHAnsi" w:cstheme="minorHAnsi"/>
          <w:sz w:val="22"/>
        </w:rPr>
        <w:t xml:space="preserve">has </w:t>
      </w:r>
      <w:r w:rsidRPr="00BB5D86">
        <w:rPr>
          <w:rFonts w:asciiTheme="minorHAnsi" w:hAnsiTheme="minorHAnsi" w:cstheme="minorHAnsi"/>
          <w:sz w:val="22"/>
        </w:rPr>
        <w:t xml:space="preserve">announced plans to index the CSHC thresholds. There is no assets test. </w:t>
      </w:r>
    </w:p>
    <w:p w:rsidR="000E2500" w:rsidRPr="00BB5D86" w:rsidRDefault="000E2500" w:rsidP="000E2500">
      <w:pPr>
        <w:rPr>
          <w:rFonts w:asciiTheme="minorHAnsi" w:hAnsiTheme="minorHAnsi" w:cstheme="minorHAnsi"/>
          <w:sz w:val="22"/>
        </w:rPr>
      </w:pPr>
    </w:p>
    <w:p w:rsidR="000E2500" w:rsidRPr="00BB5D86" w:rsidRDefault="000E2500" w:rsidP="000E2500">
      <w:pPr>
        <w:rPr>
          <w:rFonts w:asciiTheme="minorHAnsi" w:hAnsiTheme="minorHAnsi" w:cstheme="minorHAnsi"/>
          <w:sz w:val="22"/>
        </w:rPr>
      </w:pPr>
      <w:r w:rsidRPr="00BB5D86">
        <w:rPr>
          <w:rFonts w:asciiTheme="minorHAnsi" w:hAnsiTheme="minorHAnsi" w:cstheme="minorHAnsi"/>
          <w:sz w:val="22"/>
        </w:rPr>
        <w:t>In 2012-13, there were 284,239 people receiving the Seniors Supplement, costing $232.4 million, up from $179.17 million in 2012-11.</w:t>
      </w:r>
      <w:r w:rsidRPr="00BB5D86">
        <w:rPr>
          <w:rStyle w:val="FootnoteReference"/>
          <w:rFonts w:asciiTheme="minorHAnsi" w:hAnsiTheme="minorHAnsi" w:cstheme="minorHAnsi"/>
          <w:sz w:val="22"/>
        </w:rPr>
        <w:footnoteReference w:id="33"/>
      </w:r>
    </w:p>
    <w:p w:rsidR="00C22F0D" w:rsidRPr="003075EF" w:rsidRDefault="00C22F0D" w:rsidP="00C22F0D">
      <w:pPr>
        <w:rPr>
          <w:rFonts w:asciiTheme="minorHAnsi" w:hAnsiTheme="minorHAnsi" w:cstheme="minorHAnsi"/>
          <w:sz w:val="22"/>
          <w:szCs w:val="22"/>
        </w:rPr>
      </w:pPr>
    </w:p>
    <w:p w:rsidR="006F31E2" w:rsidRDefault="006F31E2" w:rsidP="006F31E2">
      <w:pPr>
        <w:pStyle w:val="ListBullet"/>
        <w:numPr>
          <w:ilvl w:val="0"/>
          <w:numId w:val="0"/>
        </w:numPr>
        <w:jc w:val="left"/>
        <w:rPr>
          <w:rFonts w:asciiTheme="minorHAnsi" w:hAnsiTheme="minorHAnsi" w:cstheme="minorHAnsi"/>
          <w:sz w:val="24"/>
        </w:rPr>
      </w:pPr>
      <w:r w:rsidRPr="00BB5D86">
        <w:rPr>
          <w:rFonts w:asciiTheme="minorHAnsi" w:hAnsiTheme="minorHAnsi" w:cstheme="minorHAnsi"/>
          <w:sz w:val="22"/>
          <w:szCs w:val="24"/>
        </w:rPr>
        <w:t>FAHCSIA estimates that the Commonwealth Seniors Card is worth around $1,200 per year for each recipient.</w:t>
      </w:r>
      <w:r w:rsidRPr="00BB5D86">
        <w:rPr>
          <w:rStyle w:val="FootnoteReference"/>
          <w:rFonts w:asciiTheme="minorHAnsi" w:hAnsiTheme="minorHAnsi" w:cstheme="minorHAnsi"/>
          <w:sz w:val="24"/>
        </w:rPr>
        <w:footnoteReference w:id="34"/>
      </w:r>
      <w:r w:rsidRPr="00BB5D86">
        <w:rPr>
          <w:rFonts w:asciiTheme="minorHAnsi" w:hAnsiTheme="minorHAnsi" w:cstheme="minorHAnsi"/>
          <w:sz w:val="24"/>
        </w:rPr>
        <w:t xml:space="preserve"> </w:t>
      </w:r>
    </w:p>
    <w:p w:rsidR="003449A0" w:rsidRDefault="003449A0" w:rsidP="00C22F0D">
      <w:pPr>
        <w:rPr>
          <w:rFonts w:asciiTheme="minorHAnsi" w:hAnsiTheme="minorHAnsi" w:cstheme="minorHAnsi"/>
          <w:sz w:val="22"/>
          <w:szCs w:val="22"/>
        </w:rPr>
      </w:pPr>
    </w:p>
    <w:p w:rsidR="00C22F0D" w:rsidRPr="00BB5D86" w:rsidRDefault="006F31E2" w:rsidP="00FE420F">
      <w:pPr>
        <w:rPr>
          <w:rFonts w:asciiTheme="minorHAnsi" w:hAnsiTheme="minorHAnsi" w:cstheme="minorHAnsi"/>
        </w:rPr>
      </w:pPr>
      <w:r>
        <w:rPr>
          <w:rFonts w:asciiTheme="minorHAnsi" w:hAnsiTheme="minorHAnsi" w:cstheme="minorHAnsi"/>
          <w:sz w:val="22"/>
          <w:szCs w:val="22"/>
        </w:rPr>
        <w:t xml:space="preserve">Also available with the card is </w:t>
      </w:r>
      <w:r w:rsidR="00C22F0D" w:rsidRPr="003075EF">
        <w:rPr>
          <w:rFonts w:asciiTheme="minorHAnsi" w:hAnsiTheme="minorHAnsi" w:cstheme="minorHAnsi"/>
          <w:sz w:val="22"/>
          <w:szCs w:val="22"/>
        </w:rPr>
        <w:t xml:space="preserve">cheaper prescription costs of just $5.90 per script, whereas working people on much less </w:t>
      </w:r>
      <w:r w:rsidRPr="006F31E2">
        <w:rPr>
          <w:rFonts w:asciiTheme="minorHAnsi" w:hAnsiTheme="minorHAnsi" w:cstheme="minorHAnsi"/>
          <w:sz w:val="22"/>
          <w:szCs w:val="22"/>
        </w:rPr>
        <w:t xml:space="preserve">incomes pay $36.10 per script. </w:t>
      </w:r>
    </w:p>
    <w:p w:rsidR="000E2500" w:rsidRPr="00BB5D86" w:rsidRDefault="000E2500" w:rsidP="000E2500">
      <w:pPr>
        <w:rPr>
          <w:rFonts w:asciiTheme="minorHAnsi" w:hAnsiTheme="minorHAnsi" w:cstheme="minorHAnsi"/>
          <w:b/>
          <w:sz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E2500" w:rsidRPr="000966B1" w:rsidRDefault="000E2500" w:rsidP="000E2500">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BB5D86">
        <w:rPr>
          <w:rFonts w:asciiTheme="minorHAnsi" w:hAnsiTheme="minorHAnsi" w:cstheme="minorHAnsi"/>
          <w:b/>
          <w:sz w:val="22"/>
        </w:rPr>
        <w:t>Recommendation</w:t>
      </w:r>
      <w:r w:rsidR="000966B1">
        <w:rPr>
          <w:rFonts w:asciiTheme="minorHAnsi" w:hAnsiTheme="minorHAnsi" w:cstheme="minorHAnsi"/>
          <w:b/>
          <w:sz w:val="22"/>
        </w:rPr>
        <w:t xml:space="preserve"> #19</w:t>
      </w:r>
      <w:r w:rsidRPr="00BB5D86">
        <w:rPr>
          <w:rFonts w:asciiTheme="minorHAnsi" w:hAnsiTheme="minorHAnsi" w:cstheme="minorHAnsi"/>
          <w:b/>
          <w:sz w:val="22"/>
        </w:rPr>
        <w:t xml:space="preserve">: </w:t>
      </w:r>
      <w:r w:rsidRPr="000966B1">
        <w:rPr>
          <w:rFonts w:asciiTheme="minorHAnsi" w:hAnsiTheme="minorHAnsi" w:cstheme="minorHAnsi"/>
          <w:sz w:val="22"/>
        </w:rPr>
        <w:t xml:space="preserve">That </w:t>
      </w:r>
      <w:r w:rsidR="001A6B4F">
        <w:rPr>
          <w:rFonts w:asciiTheme="minorHAnsi" w:hAnsiTheme="minorHAnsi" w:cstheme="minorHAnsi"/>
          <w:sz w:val="22"/>
        </w:rPr>
        <w:t xml:space="preserve">if the Government intends to cut the welfare budget, then consideration be given </w:t>
      </w:r>
      <w:r w:rsidR="00FE420F">
        <w:rPr>
          <w:rFonts w:asciiTheme="minorHAnsi" w:hAnsiTheme="minorHAnsi" w:cstheme="minorHAnsi"/>
          <w:sz w:val="22"/>
        </w:rPr>
        <w:t xml:space="preserve">to </w:t>
      </w:r>
      <w:r w:rsidR="00FE420F" w:rsidRPr="000966B1">
        <w:rPr>
          <w:rFonts w:asciiTheme="minorHAnsi" w:hAnsiTheme="minorHAnsi" w:cstheme="minorHAnsi"/>
          <w:sz w:val="22"/>
        </w:rPr>
        <w:t>abolishing</w:t>
      </w:r>
      <w:r w:rsidRPr="000966B1">
        <w:rPr>
          <w:rFonts w:asciiTheme="minorHAnsi" w:hAnsiTheme="minorHAnsi" w:cstheme="minorHAnsi"/>
          <w:sz w:val="22"/>
        </w:rPr>
        <w:t xml:space="preserve"> the Senior’s Supplement from </w:t>
      </w:r>
      <w:r w:rsidR="001A6B4F">
        <w:rPr>
          <w:rFonts w:asciiTheme="minorHAnsi" w:hAnsiTheme="minorHAnsi" w:cstheme="minorHAnsi"/>
          <w:sz w:val="22"/>
        </w:rPr>
        <w:t>March 2015</w:t>
      </w:r>
      <w:r w:rsidRPr="000966B1">
        <w:rPr>
          <w:rFonts w:asciiTheme="minorHAnsi" w:hAnsiTheme="minorHAnsi" w:cstheme="minorHAnsi"/>
          <w:sz w:val="22"/>
        </w:rPr>
        <w:t>.</w:t>
      </w:r>
    </w:p>
    <w:p w:rsidR="000E2500" w:rsidRPr="00BB5D86" w:rsidRDefault="000E2500" w:rsidP="000E2500">
      <w:pPr>
        <w:rPr>
          <w:rFonts w:asciiTheme="minorHAnsi" w:hAnsiTheme="minorHAnsi" w:cstheme="minorHAnsi"/>
          <w:b/>
          <w:sz w:val="22"/>
        </w:rPr>
      </w:pPr>
    </w:p>
    <w:p w:rsidR="000E2500" w:rsidRPr="00BB5D86" w:rsidRDefault="00D244AD" w:rsidP="006F28B1">
      <w:pPr>
        <w:pStyle w:val="Heading3"/>
      </w:pPr>
      <w:bookmarkStart w:id="25" w:name="_Toc379199701"/>
      <w:r>
        <w:t>Reform the pension assets test</w:t>
      </w:r>
      <w:bookmarkEnd w:id="25"/>
    </w:p>
    <w:p w:rsidR="000E2500" w:rsidRPr="00BB5D86" w:rsidRDefault="000E2500" w:rsidP="000E2500">
      <w:pPr>
        <w:rPr>
          <w:rFonts w:asciiTheme="minorHAnsi" w:hAnsiTheme="minorHAnsi" w:cstheme="minorHAnsi"/>
          <w:b/>
          <w:sz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A55" w:rsidRDefault="00213A55" w:rsidP="000E2500">
      <w:pPr>
        <w:rPr>
          <w:rFonts w:asciiTheme="minorHAnsi" w:hAnsiTheme="minorHAnsi" w:cstheme="minorHAnsi"/>
          <w:sz w:val="22"/>
        </w:rPr>
      </w:pPr>
      <w:r>
        <w:rPr>
          <w:rFonts w:asciiTheme="minorHAnsi" w:hAnsiTheme="minorHAnsi" w:cstheme="minorHAnsi"/>
          <w:sz w:val="22"/>
        </w:rPr>
        <w:t xml:space="preserve">When compared with allowance assets test, the pension assets test is generous, particularly since 2007 when the taper rate for assets above a certain limit was halved. </w:t>
      </w:r>
      <w:r w:rsidRPr="00BB5D86">
        <w:rPr>
          <w:rFonts w:asciiTheme="minorHAnsi" w:hAnsiTheme="minorHAnsi" w:cstheme="minorHAnsi"/>
          <w:sz w:val="22"/>
        </w:rPr>
        <w:t>The assets tests limits are indexed to the Consumer Price Index each July</w:t>
      </w:r>
      <w:r>
        <w:rPr>
          <w:rFonts w:asciiTheme="minorHAnsi" w:hAnsiTheme="minorHAnsi" w:cstheme="minorHAnsi"/>
          <w:sz w:val="22"/>
        </w:rPr>
        <w:t>.</w:t>
      </w:r>
    </w:p>
    <w:p w:rsidR="000E2500" w:rsidRPr="00BB5D86" w:rsidRDefault="000E2500" w:rsidP="000E2500">
      <w:pPr>
        <w:rPr>
          <w:rFonts w:asciiTheme="minorHAnsi" w:hAnsiTheme="minorHAnsi" w:cstheme="minorHAnsi"/>
          <w:sz w:val="22"/>
        </w:rPr>
      </w:pPr>
    </w:p>
    <w:p w:rsidR="000E2500" w:rsidRPr="00BB5D86" w:rsidRDefault="000E2500" w:rsidP="000E2500">
      <w:pPr>
        <w:rPr>
          <w:rFonts w:asciiTheme="minorHAnsi" w:hAnsiTheme="minorHAnsi" w:cstheme="minorHAnsi"/>
          <w:sz w:val="22"/>
        </w:rPr>
      </w:pPr>
      <w:r w:rsidRPr="00BB5D86">
        <w:rPr>
          <w:rFonts w:asciiTheme="minorHAnsi" w:hAnsiTheme="minorHAnsi" w:cstheme="minorHAnsi"/>
          <w:sz w:val="22"/>
        </w:rPr>
        <w:t xml:space="preserve">Assets over </w:t>
      </w:r>
      <w:r w:rsidR="00213A55">
        <w:rPr>
          <w:rFonts w:asciiTheme="minorHAnsi" w:hAnsiTheme="minorHAnsi" w:cstheme="minorHAnsi"/>
          <w:sz w:val="22"/>
        </w:rPr>
        <w:t>the limit will</w:t>
      </w:r>
      <w:r w:rsidRPr="00BB5D86">
        <w:rPr>
          <w:rFonts w:asciiTheme="minorHAnsi" w:hAnsiTheme="minorHAnsi" w:cstheme="minorHAnsi"/>
          <w:sz w:val="22"/>
        </w:rPr>
        <w:t xml:space="preserve"> reduce the pension by $1.50 per fortnight for every $1,000 above the </w:t>
      </w:r>
      <w:r w:rsidR="00D244AD">
        <w:rPr>
          <w:rFonts w:asciiTheme="minorHAnsi" w:hAnsiTheme="minorHAnsi" w:cstheme="minorHAnsi"/>
          <w:sz w:val="22"/>
        </w:rPr>
        <w:t>limit</w:t>
      </w:r>
      <w:r w:rsidRPr="00BB5D86">
        <w:rPr>
          <w:rFonts w:asciiTheme="minorHAnsi" w:hAnsiTheme="minorHAnsi" w:cstheme="minorHAnsi"/>
          <w:sz w:val="22"/>
        </w:rPr>
        <w:t>. In September 2007, thi</w:t>
      </w:r>
      <w:r w:rsidR="00213A55">
        <w:rPr>
          <w:rFonts w:asciiTheme="minorHAnsi" w:hAnsiTheme="minorHAnsi" w:cstheme="minorHAnsi"/>
          <w:sz w:val="22"/>
        </w:rPr>
        <w:t xml:space="preserve">s rate was $3.00 per fortnight. </w:t>
      </w:r>
      <w:r w:rsidRPr="00BB5D86">
        <w:rPr>
          <w:rFonts w:asciiTheme="minorHAnsi" w:hAnsiTheme="minorHAnsi" w:cstheme="minorHAnsi"/>
          <w:sz w:val="22"/>
        </w:rPr>
        <w:t>The table below highlights the assets test limits as of January 2014 for single and partnered home-owners and non-homeowners, and the levels of assets prior to their very generous relaxation in September 2007.</w:t>
      </w:r>
    </w:p>
    <w:p w:rsidR="000E2500" w:rsidRPr="00BB5D86" w:rsidRDefault="000E2500" w:rsidP="000E2500">
      <w:pPr>
        <w:rPr>
          <w:rFonts w:asciiTheme="minorHAnsi" w:hAnsiTheme="minorHAnsi" w:cstheme="minorHAnsi"/>
          <w:sz w:val="22"/>
        </w:rPr>
      </w:pPr>
    </w:p>
    <w:p w:rsidR="00213A55" w:rsidRPr="00BB5D86" w:rsidRDefault="000E2500" w:rsidP="00213A55">
      <w:pPr>
        <w:rPr>
          <w:rFonts w:asciiTheme="minorHAnsi" w:hAnsiTheme="minorHAnsi" w:cstheme="minorHAnsi"/>
          <w:sz w:val="22"/>
        </w:rPr>
      </w:pPr>
      <w:r w:rsidRPr="00BB5D86">
        <w:rPr>
          <w:rFonts w:asciiTheme="minorHAnsi" w:hAnsiTheme="minorHAnsi" w:cstheme="minorHAnsi"/>
          <w:sz w:val="22"/>
        </w:rPr>
        <w:t xml:space="preserve">The assets test is generous, particularly when compared to </w:t>
      </w:r>
      <w:r w:rsidR="00213A55">
        <w:rPr>
          <w:rFonts w:asciiTheme="minorHAnsi" w:hAnsiTheme="minorHAnsi" w:cstheme="minorHAnsi"/>
          <w:sz w:val="22"/>
        </w:rPr>
        <w:t>allowances, which have no taper but rather cease to be payable entirely at the threshold where pensions only begin to taper.</w:t>
      </w:r>
      <w:r w:rsidRPr="00BB5D86">
        <w:rPr>
          <w:rFonts w:asciiTheme="minorHAnsi" w:hAnsiTheme="minorHAnsi" w:cstheme="minorHAnsi"/>
          <w:sz w:val="22"/>
        </w:rPr>
        <w:t xml:space="preserve"> No payment is paid to a single non-homeowner unemployed person when assets reach $339,250, yet a part pension is paid to a single non-homeowner until their assets reach $890,750. </w:t>
      </w:r>
      <w:r w:rsidR="00213A55" w:rsidRPr="00BB5D86">
        <w:rPr>
          <w:rFonts w:asciiTheme="minorHAnsi" w:hAnsiTheme="minorHAnsi" w:cstheme="minorHAnsi"/>
          <w:sz w:val="22"/>
        </w:rPr>
        <w:t>A non-home owning couple can have assets of $1,253,000 and still receive a part pension, while for couples under the assets test, no payment is made when assets reach $421,500.</w:t>
      </w:r>
    </w:p>
    <w:p w:rsidR="00213A55" w:rsidRDefault="00213A55" w:rsidP="000E2500">
      <w:pPr>
        <w:rPr>
          <w:rFonts w:asciiTheme="minorHAnsi" w:hAnsiTheme="minorHAnsi" w:cstheme="minorHAnsi"/>
          <w:sz w:val="22"/>
        </w:rPr>
      </w:pPr>
    </w:p>
    <w:p w:rsidR="000E2500" w:rsidRPr="00BB5D86" w:rsidRDefault="000E2500" w:rsidP="000E2500">
      <w:pPr>
        <w:rPr>
          <w:rFonts w:asciiTheme="minorHAnsi" w:hAnsiTheme="minorHAnsi" w:cstheme="minorHAnsi"/>
          <w:sz w:val="22"/>
        </w:rPr>
      </w:pPr>
      <w:r w:rsidRPr="00BB5D86">
        <w:rPr>
          <w:rFonts w:asciiTheme="minorHAnsi" w:hAnsiTheme="minorHAnsi" w:cstheme="minorHAnsi"/>
          <w:sz w:val="22"/>
        </w:rPr>
        <w:t xml:space="preserve">NWRN believes on grounds of generational fairness and equity, </w:t>
      </w:r>
      <w:r w:rsidR="001A6B4F">
        <w:rPr>
          <w:rFonts w:asciiTheme="minorHAnsi" w:hAnsiTheme="minorHAnsi" w:cstheme="minorHAnsi"/>
          <w:sz w:val="22"/>
        </w:rPr>
        <w:t xml:space="preserve">that </w:t>
      </w:r>
      <w:r w:rsidRPr="00BB5D86">
        <w:rPr>
          <w:rFonts w:asciiTheme="minorHAnsi" w:hAnsiTheme="minorHAnsi" w:cstheme="minorHAnsi"/>
          <w:sz w:val="22"/>
        </w:rPr>
        <w:t xml:space="preserve">there is room for limiting the benefits available for people under the current arrangements. </w:t>
      </w:r>
      <w:r w:rsidR="001A6B4F">
        <w:rPr>
          <w:rFonts w:asciiTheme="minorHAnsi" w:hAnsiTheme="minorHAnsi" w:cstheme="minorHAnsi"/>
          <w:sz w:val="22"/>
        </w:rPr>
        <w:t xml:space="preserve"> Hence NWRN believes that</w:t>
      </w:r>
      <w:r w:rsidRPr="00BB5D86">
        <w:rPr>
          <w:rFonts w:asciiTheme="minorHAnsi" w:hAnsiTheme="minorHAnsi" w:cstheme="minorHAnsi"/>
          <w:sz w:val="22"/>
        </w:rPr>
        <w:t xml:space="preserve"> </w:t>
      </w:r>
      <w:r w:rsidR="001A6B4F">
        <w:rPr>
          <w:rFonts w:asciiTheme="minorHAnsi" w:hAnsiTheme="minorHAnsi" w:cstheme="minorHAnsi"/>
          <w:sz w:val="22"/>
        </w:rPr>
        <w:t>r</w:t>
      </w:r>
      <w:r w:rsidRPr="00BB5D86">
        <w:rPr>
          <w:rFonts w:asciiTheme="minorHAnsi" w:hAnsiTheme="minorHAnsi" w:cstheme="minorHAnsi"/>
          <w:sz w:val="22"/>
        </w:rPr>
        <w:t>eforms o</w:t>
      </w:r>
      <w:r w:rsidR="001A6B4F">
        <w:rPr>
          <w:rFonts w:asciiTheme="minorHAnsi" w:hAnsiTheme="minorHAnsi" w:cstheme="minorHAnsi"/>
          <w:sz w:val="22"/>
        </w:rPr>
        <w:t xml:space="preserve">f </w:t>
      </w:r>
      <w:r w:rsidRPr="00BB5D86">
        <w:rPr>
          <w:rFonts w:asciiTheme="minorHAnsi" w:hAnsiTheme="minorHAnsi" w:cstheme="minorHAnsi"/>
          <w:sz w:val="22"/>
        </w:rPr>
        <w:t>the assets test, as recommended by the 2009 Henry Tax Review, should be explored.</w:t>
      </w:r>
    </w:p>
    <w:p w:rsidR="000E2500" w:rsidRPr="00BB5D86" w:rsidRDefault="000E2500" w:rsidP="000E2500">
      <w:pPr>
        <w:rPr>
          <w:rFonts w:asciiTheme="minorHAnsi" w:hAnsiTheme="minorHAnsi" w:cstheme="minorHAnsi"/>
          <w:sz w:val="22"/>
        </w:rPr>
      </w:pPr>
    </w:p>
    <w:p w:rsidR="00213A55" w:rsidRPr="00BB5D86" w:rsidRDefault="00213A55" w:rsidP="00213A55">
      <w:pPr>
        <w:rPr>
          <w:rFonts w:asciiTheme="minorHAnsi" w:hAnsiTheme="minorHAnsi" w:cstheme="minorHAnsi"/>
          <w:b/>
          <w:sz w:val="22"/>
        </w:rPr>
      </w:pPr>
      <w:r w:rsidRPr="00BB5D86">
        <w:rPr>
          <w:rFonts w:asciiTheme="minorHAnsi" w:hAnsiTheme="minorHAnsi" w:cstheme="minorHAnsi"/>
          <w:b/>
          <w:sz w:val="22"/>
        </w:rPr>
        <w:t>Table 1: Pension and Allowance Treatment Assets Test Limits, July 2007 and January 2014</w:t>
      </w:r>
    </w:p>
    <w:p w:rsidR="000E2500" w:rsidRPr="00BB5D86" w:rsidRDefault="000E2500" w:rsidP="000E2500">
      <w:pPr>
        <w:rPr>
          <w:rFonts w:asciiTheme="minorHAnsi" w:hAnsiTheme="minorHAnsi" w:cstheme="minorHAnsi"/>
          <w:sz w:val="22"/>
        </w:rPr>
      </w:pPr>
    </w:p>
    <w:tbl>
      <w:tblPr>
        <w:tblW w:w="9015" w:type="dxa"/>
        <w:tblInd w:w="80" w:type="dxa"/>
        <w:tblLayout w:type="fixed"/>
        <w:tblCellMar>
          <w:left w:w="0" w:type="dxa"/>
          <w:right w:w="0" w:type="dxa"/>
        </w:tblCellMar>
        <w:tblLook w:val="0000" w:firstRow="0" w:lastRow="0" w:firstColumn="0" w:lastColumn="0" w:noHBand="0" w:noVBand="0"/>
      </w:tblPr>
      <w:tblGrid>
        <w:gridCol w:w="1418"/>
        <w:gridCol w:w="1276"/>
        <w:gridCol w:w="1295"/>
        <w:gridCol w:w="1256"/>
        <w:gridCol w:w="1134"/>
        <w:gridCol w:w="1134"/>
        <w:gridCol w:w="1502"/>
      </w:tblGrid>
      <w:tr w:rsidR="000E2500" w:rsidRPr="00BB5D86" w:rsidTr="004454B7">
        <w:trPr>
          <w:trHeight w:val="60"/>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E2500" w:rsidRPr="00BB5D86" w:rsidRDefault="000E2500" w:rsidP="004454B7">
            <w:pPr>
              <w:pStyle w:val="NoParagraphStyle"/>
              <w:spacing w:line="240" w:lineRule="auto"/>
              <w:textAlignment w:val="auto"/>
              <w:rPr>
                <w:rFonts w:asciiTheme="minorHAnsi" w:hAnsiTheme="minorHAnsi" w:cstheme="minorHAnsi"/>
                <w:color w:val="auto"/>
                <w:sz w:val="22"/>
                <w:lang w:val="en-AU"/>
              </w:rPr>
            </w:pPr>
          </w:p>
        </w:tc>
        <w:tc>
          <w:tcPr>
            <w:tcW w:w="25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E2500" w:rsidRPr="00BB5D86" w:rsidRDefault="000E2500" w:rsidP="004454B7">
            <w:pPr>
              <w:pStyle w:val="01Tabletext"/>
              <w:jc w:val="right"/>
              <w:rPr>
                <w:rFonts w:asciiTheme="minorHAnsi" w:hAnsiTheme="minorHAnsi" w:cstheme="minorHAnsi"/>
                <w:sz w:val="22"/>
              </w:rPr>
            </w:pPr>
            <w:r w:rsidRPr="00BB5D86">
              <w:rPr>
                <w:rStyle w:val="01bodybold"/>
                <w:rFonts w:asciiTheme="minorHAnsi" w:hAnsiTheme="minorHAnsi" w:cstheme="minorHAnsi"/>
                <w:bCs/>
                <w:sz w:val="16"/>
                <w:szCs w:val="18"/>
              </w:rPr>
              <w:t xml:space="preserve"> January 2014 For part pension assets </w:t>
            </w:r>
            <w:r w:rsidRPr="00BB5D86">
              <w:rPr>
                <w:rStyle w:val="01bodybold"/>
                <w:rFonts w:asciiTheme="minorHAnsi" w:hAnsiTheme="minorHAnsi" w:cstheme="minorHAnsi"/>
                <w:bCs/>
                <w:sz w:val="16"/>
                <w:szCs w:val="18"/>
              </w:rPr>
              <w:br/>
              <w:t>must be less than #</w:t>
            </w:r>
          </w:p>
        </w:tc>
        <w:tc>
          <w:tcPr>
            <w:tcW w:w="2390" w:type="dxa"/>
            <w:gridSpan w:val="2"/>
            <w:tcBorders>
              <w:top w:val="single" w:sz="4" w:space="0" w:color="000000"/>
              <w:left w:val="single" w:sz="4" w:space="0" w:color="000000"/>
              <w:bottom w:val="single" w:sz="4" w:space="0" w:color="000000"/>
              <w:right w:val="single" w:sz="4" w:space="0" w:color="000000"/>
            </w:tcBorders>
          </w:tcPr>
          <w:p w:rsidR="000E2500" w:rsidRPr="00BB5D86" w:rsidRDefault="000E2500" w:rsidP="004454B7">
            <w:pPr>
              <w:pStyle w:val="01Tabletext"/>
              <w:jc w:val="right"/>
              <w:rPr>
                <w:rStyle w:val="01bodybold"/>
                <w:rFonts w:asciiTheme="minorHAnsi" w:hAnsiTheme="minorHAnsi" w:cstheme="minorHAnsi"/>
                <w:bCs/>
                <w:sz w:val="16"/>
                <w:szCs w:val="18"/>
              </w:rPr>
            </w:pPr>
            <w:r w:rsidRPr="00BB5D86">
              <w:rPr>
                <w:rStyle w:val="01bodybold"/>
                <w:rFonts w:asciiTheme="minorHAnsi" w:hAnsiTheme="minorHAnsi" w:cstheme="minorHAnsi"/>
                <w:bCs/>
                <w:sz w:val="16"/>
                <w:szCs w:val="18"/>
              </w:rPr>
              <w:t xml:space="preserve">July 2007 For part pension assets </w:t>
            </w:r>
            <w:r w:rsidRPr="00BB5D86">
              <w:rPr>
                <w:rStyle w:val="01bodybold"/>
                <w:rFonts w:asciiTheme="minorHAnsi" w:hAnsiTheme="minorHAnsi" w:cstheme="minorHAnsi"/>
                <w:bCs/>
                <w:sz w:val="16"/>
                <w:szCs w:val="18"/>
              </w:rPr>
              <w:br/>
              <w:t>must be less than #</w:t>
            </w:r>
          </w:p>
        </w:tc>
        <w:tc>
          <w:tcPr>
            <w:tcW w:w="2636" w:type="dxa"/>
            <w:gridSpan w:val="2"/>
            <w:tcBorders>
              <w:top w:val="single" w:sz="4" w:space="0" w:color="000000"/>
              <w:left w:val="single" w:sz="4" w:space="0" w:color="000000"/>
              <w:bottom w:val="single" w:sz="4" w:space="0" w:color="000000"/>
              <w:right w:val="single" w:sz="4" w:space="0" w:color="000000"/>
            </w:tcBorders>
          </w:tcPr>
          <w:p w:rsidR="000E2500" w:rsidRPr="00BB5D86" w:rsidRDefault="000E2500" w:rsidP="004454B7">
            <w:pPr>
              <w:pStyle w:val="01Tabletext"/>
              <w:jc w:val="right"/>
              <w:rPr>
                <w:rStyle w:val="01bodybold"/>
                <w:rFonts w:asciiTheme="minorHAnsi" w:hAnsiTheme="minorHAnsi" w:cstheme="minorHAnsi"/>
                <w:bCs/>
                <w:sz w:val="16"/>
                <w:szCs w:val="18"/>
              </w:rPr>
            </w:pPr>
            <w:r w:rsidRPr="00BB5D86">
              <w:rPr>
                <w:rStyle w:val="01bodybold"/>
                <w:rFonts w:asciiTheme="minorHAnsi" w:hAnsiTheme="minorHAnsi" w:cstheme="minorHAnsi"/>
                <w:bCs/>
                <w:sz w:val="16"/>
                <w:szCs w:val="18"/>
              </w:rPr>
              <w:t xml:space="preserve">January 2014 For Allowance assets </w:t>
            </w:r>
            <w:r w:rsidRPr="00BB5D86">
              <w:rPr>
                <w:rStyle w:val="01bodybold"/>
                <w:rFonts w:asciiTheme="minorHAnsi" w:hAnsiTheme="minorHAnsi" w:cstheme="minorHAnsi"/>
                <w:bCs/>
                <w:sz w:val="16"/>
                <w:szCs w:val="18"/>
              </w:rPr>
              <w:br/>
              <w:t>must be less than #</w:t>
            </w:r>
          </w:p>
        </w:tc>
      </w:tr>
      <w:tr w:rsidR="000E2500" w:rsidRPr="00BB5D86" w:rsidTr="004454B7">
        <w:trPr>
          <w:trHeight w:val="60"/>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E2500" w:rsidRPr="00BB5D86" w:rsidRDefault="000E2500" w:rsidP="004454B7">
            <w:pPr>
              <w:pStyle w:val="01Tabletext"/>
              <w:rPr>
                <w:rFonts w:asciiTheme="minorHAnsi" w:hAnsiTheme="minorHAnsi" w:cstheme="minorHAnsi"/>
                <w:sz w:val="22"/>
              </w:rPr>
            </w:pPr>
            <w:r w:rsidRPr="00BB5D86">
              <w:rPr>
                <w:rStyle w:val="01bodybold"/>
                <w:rFonts w:asciiTheme="minorHAnsi" w:hAnsiTheme="minorHAnsi" w:cstheme="minorHAnsi"/>
                <w:b w:val="0"/>
                <w:bCs/>
                <w:sz w:val="16"/>
                <w:szCs w:val="18"/>
              </w:rPr>
              <w:t>Family situation</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E2500" w:rsidRPr="00BB5D86" w:rsidRDefault="000E2500" w:rsidP="004454B7">
            <w:pPr>
              <w:pStyle w:val="01Tabletext"/>
              <w:jc w:val="right"/>
              <w:rPr>
                <w:rFonts w:asciiTheme="minorHAnsi" w:hAnsiTheme="minorHAnsi" w:cstheme="minorHAnsi"/>
                <w:sz w:val="22"/>
              </w:rPr>
            </w:pPr>
            <w:r w:rsidRPr="00BB5D86">
              <w:rPr>
                <w:rStyle w:val="01bodybold"/>
                <w:rFonts w:asciiTheme="minorHAnsi" w:hAnsiTheme="minorHAnsi" w:cstheme="minorHAnsi"/>
                <w:b w:val="0"/>
                <w:bCs/>
                <w:sz w:val="16"/>
                <w:szCs w:val="18"/>
              </w:rPr>
              <w:t>For Homeowners</w:t>
            </w:r>
          </w:p>
        </w:tc>
        <w:tc>
          <w:tcPr>
            <w:tcW w:w="12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E2500" w:rsidRPr="00BB5D86" w:rsidRDefault="000E2500" w:rsidP="004454B7">
            <w:pPr>
              <w:pStyle w:val="01Tabletext"/>
              <w:jc w:val="right"/>
              <w:rPr>
                <w:rFonts w:asciiTheme="minorHAnsi" w:hAnsiTheme="minorHAnsi" w:cstheme="minorHAnsi"/>
                <w:sz w:val="22"/>
              </w:rPr>
            </w:pPr>
            <w:r w:rsidRPr="00BB5D86">
              <w:rPr>
                <w:rStyle w:val="01bodybold"/>
                <w:rFonts w:asciiTheme="minorHAnsi" w:hAnsiTheme="minorHAnsi" w:cstheme="minorHAnsi"/>
                <w:b w:val="0"/>
                <w:bCs/>
                <w:spacing w:val="-2"/>
                <w:sz w:val="16"/>
                <w:szCs w:val="18"/>
              </w:rPr>
              <w:t>For Non-homeowners</w:t>
            </w:r>
          </w:p>
        </w:tc>
        <w:tc>
          <w:tcPr>
            <w:tcW w:w="1256" w:type="dxa"/>
            <w:tcBorders>
              <w:top w:val="single" w:sz="4" w:space="0" w:color="000000"/>
              <w:left w:val="single" w:sz="4" w:space="0" w:color="000000"/>
              <w:bottom w:val="single" w:sz="4" w:space="0" w:color="000000"/>
              <w:right w:val="single" w:sz="4" w:space="0" w:color="000000"/>
            </w:tcBorders>
          </w:tcPr>
          <w:p w:rsidR="000E2500" w:rsidRPr="00BB5D86" w:rsidRDefault="000E2500" w:rsidP="004454B7">
            <w:pPr>
              <w:pStyle w:val="01Tabletext"/>
              <w:jc w:val="right"/>
              <w:rPr>
                <w:rFonts w:asciiTheme="minorHAnsi" w:hAnsiTheme="minorHAnsi" w:cstheme="minorHAnsi"/>
                <w:sz w:val="22"/>
              </w:rPr>
            </w:pPr>
            <w:r w:rsidRPr="00BB5D86">
              <w:rPr>
                <w:rStyle w:val="01bodybold"/>
                <w:rFonts w:asciiTheme="minorHAnsi" w:hAnsiTheme="minorHAnsi" w:cstheme="minorHAnsi"/>
                <w:b w:val="0"/>
                <w:bCs/>
                <w:sz w:val="16"/>
                <w:szCs w:val="18"/>
              </w:rPr>
              <w:t>For Homeowners</w:t>
            </w:r>
          </w:p>
        </w:tc>
        <w:tc>
          <w:tcPr>
            <w:tcW w:w="1134" w:type="dxa"/>
            <w:tcBorders>
              <w:top w:val="single" w:sz="4" w:space="0" w:color="000000"/>
              <w:left w:val="single" w:sz="4" w:space="0" w:color="000000"/>
              <w:bottom w:val="single" w:sz="4" w:space="0" w:color="000000"/>
              <w:right w:val="single" w:sz="4" w:space="0" w:color="000000"/>
            </w:tcBorders>
          </w:tcPr>
          <w:p w:rsidR="000E2500" w:rsidRPr="00BB5D86" w:rsidRDefault="000E2500" w:rsidP="004454B7">
            <w:pPr>
              <w:pStyle w:val="01Tabletext"/>
              <w:jc w:val="right"/>
              <w:rPr>
                <w:rFonts w:asciiTheme="minorHAnsi" w:hAnsiTheme="minorHAnsi" w:cstheme="minorHAnsi"/>
                <w:sz w:val="22"/>
              </w:rPr>
            </w:pPr>
            <w:r w:rsidRPr="00BB5D86">
              <w:rPr>
                <w:rStyle w:val="01bodybold"/>
                <w:rFonts w:asciiTheme="minorHAnsi" w:hAnsiTheme="minorHAnsi" w:cstheme="minorHAnsi"/>
                <w:b w:val="0"/>
                <w:bCs/>
                <w:spacing w:val="-2"/>
                <w:sz w:val="16"/>
                <w:szCs w:val="18"/>
              </w:rPr>
              <w:t>For Non-homeowners</w:t>
            </w:r>
          </w:p>
        </w:tc>
        <w:tc>
          <w:tcPr>
            <w:tcW w:w="1134" w:type="dxa"/>
            <w:tcBorders>
              <w:top w:val="single" w:sz="4" w:space="0" w:color="000000"/>
              <w:left w:val="single" w:sz="4" w:space="0" w:color="000000"/>
              <w:bottom w:val="single" w:sz="4" w:space="0" w:color="000000"/>
              <w:right w:val="single" w:sz="4" w:space="0" w:color="000000"/>
            </w:tcBorders>
          </w:tcPr>
          <w:p w:rsidR="000E2500" w:rsidRPr="00BB5D86" w:rsidRDefault="000E2500" w:rsidP="004454B7">
            <w:pPr>
              <w:pStyle w:val="01Tabletext"/>
              <w:jc w:val="right"/>
              <w:rPr>
                <w:rStyle w:val="01bodybold"/>
                <w:rFonts w:asciiTheme="minorHAnsi" w:hAnsiTheme="minorHAnsi" w:cstheme="minorHAnsi"/>
                <w:b w:val="0"/>
                <w:bCs/>
                <w:spacing w:val="-2"/>
                <w:sz w:val="16"/>
                <w:szCs w:val="18"/>
              </w:rPr>
            </w:pPr>
            <w:r w:rsidRPr="00BB5D86">
              <w:rPr>
                <w:rStyle w:val="01bodybold"/>
                <w:rFonts w:asciiTheme="minorHAnsi" w:hAnsiTheme="minorHAnsi" w:cstheme="minorHAnsi"/>
                <w:b w:val="0"/>
                <w:bCs/>
                <w:sz w:val="16"/>
                <w:szCs w:val="18"/>
              </w:rPr>
              <w:t>For Homeowners</w:t>
            </w:r>
          </w:p>
        </w:tc>
        <w:tc>
          <w:tcPr>
            <w:tcW w:w="1502" w:type="dxa"/>
            <w:tcBorders>
              <w:top w:val="single" w:sz="4" w:space="0" w:color="000000"/>
              <w:left w:val="single" w:sz="4" w:space="0" w:color="000000"/>
              <w:bottom w:val="single" w:sz="4" w:space="0" w:color="000000"/>
              <w:right w:val="single" w:sz="4" w:space="0" w:color="000000"/>
            </w:tcBorders>
          </w:tcPr>
          <w:p w:rsidR="000E2500" w:rsidRPr="00BB5D86" w:rsidRDefault="000E2500" w:rsidP="004454B7">
            <w:pPr>
              <w:pStyle w:val="01Tabletext"/>
              <w:jc w:val="right"/>
              <w:rPr>
                <w:rStyle w:val="01bodybold"/>
                <w:rFonts w:asciiTheme="minorHAnsi" w:hAnsiTheme="minorHAnsi" w:cstheme="minorHAnsi"/>
                <w:b w:val="0"/>
                <w:bCs/>
                <w:spacing w:val="-2"/>
                <w:sz w:val="16"/>
                <w:szCs w:val="18"/>
              </w:rPr>
            </w:pPr>
            <w:r w:rsidRPr="00BB5D86">
              <w:rPr>
                <w:rStyle w:val="01bodybold"/>
                <w:rFonts w:asciiTheme="minorHAnsi" w:hAnsiTheme="minorHAnsi" w:cstheme="minorHAnsi"/>
                <w:b w:val="0"/>
                <w:bCs/>
                <w:spacing w:val="-2"/>
                <w:sz w:val="16"/>
                <w:szCs w:val="18"/>
              </w:rPr>
              <w:t>For Non-homeowners</w:t>
            </w:r>
          </w:p>
        </w:tc>
      </w:tr>
      <w:tr w:rsidR="000E2500" w:rsidRPr="00BB5D86" w:rsidTr="004454B7">
        <w:trPr>
          <w:trHeight w:val="60"/>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E2500" w:rsidRPr="00BB5D86" w:rsidRDefault="000E2500" w:rsidP="004454B7">
            <w:pPr>
              <w:pStyle w:val="01Tabletext"/>
              <w:rPr>
                <w:rFonts w:asciiTheme="minorHAnsi" w:hAnsiTheme="minorHAnsi" w:cstheme="minorHAnsi"/>
                <w:sz w:val="22"/>
              </w:rPr>
            </w:pPr>
            <w:r w:rsidRPr="00BB5D86">
              <w:rPr>
                <w:rFonts w:asciiTheme="minorHAnsi" w:hAnsiTheme="minorHAnsi" w:cstheme="minorHAnsi"/>
                <w:sz w:val="16"/>
                <w:szCs w:val="18"/>
              </w:rPr>
              <w:t>Single</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E2500" w:rsidRPr="00BB5D86" w:rsidRDefault="000E2500" w:rsidP="004454B7">
            <w:pPr>
              <w:pStyle w:val="01Tabletext"/>
              <w:jc w:val="right"/>
              <w:rPr>
                <w:rFonts w:asciiTheme="minorHAnsi" w:hAnsiTheme="minorHAnsi" w:cstheme="minorHAnsi"/>
                <w:sz w:val="22"/>
              </w:rPr>
            </w:pPr>
            <w:r w:rsidRPr="00BB5D86">
              <w:rPr>
                <w:rFonts w:asciiTheme="minorHAnsi" w:hAnsiTheme="minorHAnsi" w:cstheme="minorHAnsi"/>
                <w:sz w:val="16"/>
                <w:szCs w:val="18"/>
              </w:rPr>
              <w:t xml:space="preserve">$748,250 </w:t>
            </w:r>
          </w:p>
        </w:tc>
        <w:tc>
          <w:tcPr>
            <w:tcW w:w="12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E2500" w:rsidRPr="00BB5D86" w:rsidRDefault="000E2500" w:rsidP="004454B7">
            <w:pPr>
              <w:pStyle w:val="01Tabletext"/>
              <w:jc w:val="right"/>
              <w:rPr>
                <w:rFonts w:asciiTheme="minorHAnsi" w:hAnsiTheme="minorHAnsi" w:cstheme="minorHAnsi"/>
                <w:sz w:val="22"/>
              </w:rPr>
            </w:pPr>
            <w:r w:rsidRPr="00BB5D86">
              <w:rPr>
                <w:rFonts w:asciiTheme="minorHAnsi" w:hAnsiTheme="minorHAnsi" w:cstheme="minorHAnsi"/>
                <w:sz w:val="16"/>
                <w:szCs w:val="18"/>
              </w:rPr>
              <w:t>$890,750</w:t>
            </w:r>
          </w:p>
        </w:tc>
        <w:tc>
          <w:tcPr>
            <w:tcW w:w="1256" w:type="dxa"/>
            <w:tcBorders>
              <w:top w:val="single" w:sz="4" w:space="0" w:color="000000"/>
              <w:left w:val="single" w:sz="4" w:space="0" w:color="000000"/>
              <w:bottom w:val="single" w:sz="4" w:space="0" w:color="000000"/>
              <w:right w:val="single" w:sz="4" w:space="0" w:color="000000"/>
            </w:tcBorders>
          </w:tcPr>
          <w:p w:rsidR="000E2500" w:rsidRPr="00BB5D86" w:rsidRDefault="000E2500" w:rsidP="004454B7">
            <w:pPr>
              <w:pStyle w:val="01Tabletext"/>
              <w:spacing w:after="240"/>
              <w:jc w:val="right"/>
              <w:rPr>
                <w:rFonts w:asciiTheme="minorHAnsi" w:hAnsiTheme="minorHAnsi" w:cstheme="minorHAnsi"/>
                <w:sz w:val="16"/>
                <w:szCs w:val="18"/>
              </w:rPr>
            </w:pPr>
            <w:r w:rsidRPr="00BB5D86">
              <w:rPr>
                <w:rFonts w:asciiTheme="minorHAnsi" w:hAnsiTheme="minorHAnsi" w:cstheme="minorHAnsi"/>
                <w:sz w:val="16"/>
                <w:szCs w:val="18"/>
              </w:rPr>
              <w:t>$166,750</w:t>
            </w:r>
          </w:p>
        </w:tc>
        <w:tc>
          <w:tcPr>
            <w:tcW w:w="1134" w:type="dxa"/>
            <w:tcBorders>
              <w:top w:val="single" w:sz="4" w:space="0" w:color="000000"/>
              <w:left w:val="single" w:sz="4" w:space="0" w:color="000000"/>
              <w:bottom w:val="single" w:sz="4" w:space="0" w:color="000000"/>
              <w:right w:val="single" w:sz="4" w:space="0" w:color="000000"/>
            </w:tcBorders>
          </w:tcPr>
          <w:p w:rsidR="000E2500" w:rsidRPr="00BB5D86" w:rsidRDefault="000E2500" w:rsidP="004454B7">
            <w:pPr>
              <w:pStyle w:val="01Tabletext"/>
              <w:jc w:val="right"/>
              <w:rPr>
                <w:rFonts w:asciiTheme="minorHAnsi" w:hAnsiTheme="minorHAnsi" w:cstheme="minorHAnsi"/>
                <w:sz w:val="16"/>
                <w:szCs w:val="18"/>
              </w:rPr>
            </w:pPr>
            <w:r w:rsidRPr="00BB5D86">
              <w:rPr>
                <w:rFonts w:asciiTheme="minorHAnsi" w:hAnsiTheme="minorHAnsi" w:cstheme="minorHAnsi"/>
                <w:sz w:val="16"/>
                <w:szCs w:val="18"/>
              </w:rPr>
              <w:t>$343,750</w:t>
            </w:r>
          </w:p>
        </w:tc>
        <w:tc>
          <w:tcPr>
            <w:tcW w:w="1134" w:type="dxa"/>
            <w:tcBorders>
              <w:top w:val="single" w:sz="4" w:space="0" w:color="000000"/>
              <w:left w:val="single" w:sz="4" w:space="0" w:color="000000"/>
              <w:bottom w:val="single" w:sz="4" w:space="0" w:color="000000"/>
              <w:right w:val="single" w:sz="4" w:space="0" w:color="000000"/>
            </w:tcBorders>
          </w:tcPr>
          <w:p w:rsidR="000E2500" w:rsidRPr="00BB5D86" w:rsidRDefault="000E2500" w:rsidP="004454B7">
            <w:pPr>
              <w:pStyle w:val="01Tabletext"/>
              <w:jc w:val="right"/>
              <w:rPr>
                <w:rFonts w:asciiTheme="minorHAnsi" w:hAnsiTheme="minorHAnsi" w:cstheme="minorHAnsi"/>
                <w:sz w:val="16"/>
                <w:szCs w:val="18"/>
              </w:rPr>
            </w:pPr>
            <w:r w:rsidRPr="00BB5D86">
              <w:rPr>
                <w:rFonts w:asciiTheme="minorHAnsi" w:hAnsiTheme="minorHAnsi" w:cstheme="minorHAnsi"/>
                <w:sz w:val="16"/>
                <w:szCs w:val="18"/>
              </w:rPr>
              <w:t>$196,750</w:t>
            </w:r>
          </w:p>
        </w:tc>
        <w:tc>
          <w:tcPr>
            <w:tcW w:w="1502" w:type="dxa"/>
            <w:tcBorders>
              <w:top w:val="single" w:sz="4" w:space="0" w:color="000000"/>
              <w:left w:val="single" w:sz="4" w:space="0" w:color="000000"/>
              <w:bottom w:val="single" w:sz="4" w:space="0" w:color="000000"/>
              <w:right w:val="single" w:sz="4" w:space="0" w:color="000000"/>
            </w:tcBorders>
          </w:tcPr>
          <w:p w:rsidR="000E2500" w:rsidRPr="00BB5D86" w:rsidRDefault="000E2500" w:rsidP="004454B7">
            <w:pPr>
              <w:pStyle w:val="01Tabletext"/>
              <w:jc w:val="right"/>
              <w:rPr>
                <w:rFonts w:asciiTheme="minorHAnsi" w:hAnsiTheme="minorHAnsi" w:cstheme="minorHAnsi"/>
                <w:sz w:val="16"/>
                <w:szCs w:val="18"/>
              </w:rPr>
            </w:pPr>
            <w:r w:rsidRPr="00BB5D86">
              <w:rPr>
                <w:rFonts w:asciiTheme="minorHAnsi" w:hAnsiTheme="minorHAnsi" w:cstheme="minorHAnsi"/>
                <w:sz w:val="16"/>
                <w:szCs w:val="18"/>
              </w:rPr>
              <w:t>$339,250</w:t>
            </w:r>
          </w:p>
        </w:tc>
      </w:tr>
      <w:tr w:rsidR="000E2500" w:rsidRPr="00BB5D86" w:rsidTr="004454B7">
        <w:trPr>
          <w:trHeight w:val="60"/>
        </w:trPr>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E2500" w:rsidRPr="00BB5D86" w:rsidRDefault="000E2500" w:rsidP="004454B7">
            <w:pPr>
              <w:pStyle w:val="01Tabletext"/>
              <w:rPr>
                <w:rFonts w:asciiTheme="minorHAnsi" w:hAnsiTheme="minorHAnsi" w:cstheme="minorHAnsi"/>
                <w:sz w:val="22"/>
              </w:rPr>
            </w:pPr>
            <w:r w:rsidRPr="00BB5D86">
              <w:rPr>
                <w:rFonts w:asciiTheme="minorHAnsi" w:hAnsiTheme="minorHAnsi" w:cstheme="minorHAnsi"/>
                <w:sz w:val="16"/>
                <w:szCs w:val="18"/>
              </w:rPr>
              <w:t>Couple (combined)</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E2500" w:rsidRPr="00BB5D86" w:rsidRDefault="000E2500" w:rsidP="004454B7">
            <w:pPr>
              <w:pStyle w:val="01Tabletext"/>
              <w:jc w:val="right"/>
              <w:rPr>
                <w:rFonts w:asciiTheme="minorHAnsi" w:hAnsiTheme="minorHAnsi" w:cstheme="minorHAnsi"/>
                <w:sz w:val="22"/>
              </w:rPr>
            </w:pPr>
            <w:r w:rsidRPr="00BB5D86">
              <w:rPr>
                <w:rFonts w:asciiTheme="minorHAnsi" w:hAnsiTheme="minorHAnsi" w:cstheme="minorHAnsi"/>
                <w:sz w:val="16"/>
                <w:szCs w:val="18"/>
              </w:rPr>
              <w:t>$1,110,500</w:t>
            </w:r>
          </w:p>
        </w:tc>
        <w:tc>
          <w:tcPr>
            <w:tcW w:w="12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E2500" w:rsidRPr="00BB5D86" w:rsidRDefault="000E2500" w:rsidP="004454B7">
            <w:pPr>
              <w:pStyle w:val="01Tabletext"/>
              <w:jc w:val="right"/>
              <w:rPr>
                <w:rFonts w:asciiTheme="minorHAnsi" w:hAnsiTheme="minorHAnsi" w:cstheme="minorHAnsi"/>
                <w:sz w:val="22"/>
              </w:rPr>
            </w:pPr>
            <w:r w:rsidRPr="00BB5D86">
              <w:rPr>
                <w:rFonts w:asciiTheme="minorHAnsi" w:hAnsiTheme="minorHAnsi" w:cstheme="minorHAnsi"/>
                <w:sz w:val="16"/>
                <w:szCs w:val="18"/>
              </w:rPr>
              <w:t>$1,253,000</w:t>
            </w:r>
          </w:p>
        </w:tc>
        <w:tc>
          <w:tcPr>
            <w:tcW w:w="1256" w:type="dxa"/>
            <w:tcBorders>
              <w:top w:val="single" w:sz="4" w:space="0" w:color="000000"/>
              <w:left w:val="single" w:sz="4" w:space="0" w:color="000000"/>
              <w:bottom w:val="single" w:sz="4" w:space="0" w:color="000000"/>
              <w:right w:val="single" w:sz="4" w:space="0" w:color="000000"/>
            </w:tcBorders>
          </w:tcPr>
          <w:p w:rsidR="000E2500" w:rsidRPr="00BB5D86" w:rsidRDefault="000E2500" w:rsidP="004454B7">
            <w:pPr>
              <w:pStyle w:val="01Tabletext"/>
              <w:spacing w:after="240"/>
              <w:jc w:val="right"/>
              <w:rPr>
                <w:rFonts w:asciiTheme="minorHAnsi" w:hAnsiTheme="minorHAnsi" w:cstheme="minorHAnsi"/>
                <w:sz w:val="16"/>
                <w:szCs w:val="18"/>
              </w:rPr>
            </w:pPr>
            <w:r w:rsidRPr="00BB5D86">
              <w:rPr>
                <w:rFonts w:asciiTheme="minorHAnsi" w:hAnsiTheme="minorHAnsi" w:cstheme="minorHAnsi"/>
                <w:sz w:val="16"/>
                <w:szCs w:val="18"/>
              </w:rPr>
              <w:t>$531,000</w:t>
            </w:r>
          </w:p>
        </w:tc>
        <w:tc>
          <w:tcPr>
            <w:tcW w:w="1134" w:type="dxa"/>
            <w:tcBorders>
              <w:top w:val="single" w:sz="4" w:space="0" w:color="000000"/>
              <w:left w:val="single" w:sz="4" w:space="0" w:color="000000"/>
              <w:bottom w:val="single" w:sz="4" w:space="0" w:color="000000"/>
              <w:right w:val="single" w:sz="4" w:space="0" w:color="000000"/>
            </w:tcBorders>
          </w:tcPr>
          <w:p w:rsidR="000E2500" w:rsidRPr="00BB5D86" w:rsidRDefault="000E2500" w:rsidP="004454B7">
            <w:pPr>
              <w:pStyle w:val="01Tabletext"/>
              <w:jc w:val="right"/>
              <w:rPr>
                <w:rFonts w:asciiTheme="minorHAnsi" w:hAnsiTheme="minorHAnsi" w:cstheme="minorHAnsi"/>
                <w:sz w:val="16"/>
                <w:szCs w:val="18"/>
              </w:rPr>
            </w:pPr>
            <w:r w:rsidRPr="00BB5D86">
              <w:rPr>
                <w:rFonts w:asciiTheme="minorHAnsi" w:hAnsiTheme="minorHAnsi" w:cstheme="minorHAnsi"/>
                <w:sz w:val="16"/>
                <w:szCs w:val="18"/>
              </w:rPr>
              <w:t>$652,000</w:t>
            </w:r>
          </w:p>
        </w:tc>
        <w:tc>
          <w:tcPr>
            <w:tcW w:w="1134" w:type="dxa"/>
            <w:tcBorders>
              <w:top w:val="single" w:sz="4" w:space="0" w:color="000000"/>
              <w:left w:val="single" w:sz="4" w:space="0" w:color="000000"/>
              <w:bottom w:val="single" w:sz="4" w:space="0" w:color="000000"/>
              <w:right w:val="single" w:sz="4" w:space="0" w:color="000000"/>
            </w:tcBorders>
          </w:tcPr>
          <w:p w:rsidR="000E2500" w:rsidRPr="00BB5D86" w:rsidRDefault="000E2500" w:rsidP="004454B7">
            <w:pPr>
              <w:pStyle w:val="01Tabletext"/>
              <w:jc w:val="right"/>
              <w:rPr>
                <w:rFonts w:asciiTheme="minorHAnsi" w:hAnsiTheme="minorHAnsi" w:cstheme="minorHAnsi"/>
                <w:sz w:val="16"/>
                <w:szCs w:val="18"/>
              </w:rPr>
            </w:pPr>
            <w:r w:rsidRPr="00BB5D86">
              <w:rPr>
                <w:rFonts w:asciiTheme="minorHAnsi" w:hAnsiTheme="minorHAnsi" w:cstheme="minorHAnsi"/>
                <w:sz w:val="16"/>
                <w:szCs w:val="18"/>
              </w:rPr>
              <w:t>$279,000</w:t>
            </w:r>
          </w:p>
        </w:tc>
        <w:tc>
          <w:tcPr>
            <w:tcW w:w="1502" w:type="dxa"/>
            <w:tcBorders>
              <w:top w:val="single" w:sz="4" w:space="0" w:color="000000"/>
              <w:left w:val="single" w:sz="4" w:space="0" w:color="000000"/>
              <w:bottom w:val="single" w:sz="4" w:space="0" w:color="000000"/>
              <w:right w:val="single" w:sz="4" w:space="0" w:color="000000"/>
            </w:tcBorders>
          </w:tcPr>
          <w:p w:rsidR="000E2500" w:rsidRPr="00BB5D86" w:rsidRDefault="000E2500" w:rsidP="004454B7">
            <w:pPr>
              <w:pStyle w:val="01Tabletext"/>
              <w:jc w:val="right"/>
              <w:rPr>
                <w:rFonts w:asciiTheme="minorHAnsi" w:hAnsiTheme="minorHAnsi" w:cstheme="minorHAnsi"/>
                <w:sz w:val="16"/>
                <w:szCs w:val="18"/>
              </w:rPr>
            </w:pPr>
            <w:r w:rsidRPr="00BB5D86">
              <w:rPr>
                <w:rFonts w:asciiTheme="minorHAnsi" w:hAnsiTheme="minorHAnsi" w:cstheme="minorHAnsi"/>
                <w:sz w:val="16"/>
                <w:szCs w:val="18"/>
              </w:rPr>
              <w:t>$421,500</w:t>
            </w:r>
          </w:p>
        </w:tc>
      </w:tr>
    </w:tbl>
    <w:p w:rsidR="000E2500" w:rsidRPr="00BB5D86" w:rsidRDefault="000E2500" w:rsidP="000E2500">
      <w:pPr>
        <w:rPr>
          <w:rFonts w:asciiTheme="minorHAnsi" w:hAnsiTheme="minorHAnsi" w:cstheme="minorHAnsi"/>
          <w:b/>
          <w:sz w:val="22"/>
        </w:rPr>
      </w:pPr>
    </w:p>
    <w:p w:rsidR="000E2500" w:rsidRPr="00BB5D86" w:rsidRDefault="000E2500" w:rsidP="000E2500">
      <w:pPr>
        <w:rPr>
          <w:rFonts w:asciiTheme="minorHAnsi" w:hAnsiTheme="minorHAnsi" w:cstheme="minorHAnsi"/>
          <w:b/>
          <w:sz w:val="22"/>
        </w:rPr>
      </w:pPr>
    </w:p>
    <w:p w:rsidR="000E2500" w:rsidRPr="00BB5D86" w:rsidRDefault="000E2500" w:rsidP="000E2500">
      <w:pPr>
        <w:pBdr>
          <w:top w:val="single" w:sz="4" w:space="1" w:color="auto"/>
          <w:left w:val="single" w:sz="4" w:space="4" w:color="auto"/>
          <w:bottom w:val="single" w:sz="4" w:space="1" w:color="auto"/>
          <w:right w:val="single" w:sz="4" w:space="4" w:color="auto"/>
        </w:pBdr>
        <w:rPr>
          <w:rFonts w:asciiTheme="minorHAnsi" w:hAnsiTheme="minorHAnsi" w:cstheme="minorHAnsi"/>
          <w:b/>
          <w:sz w:val="22"/>
        </w:rPr>
      </w:pPr>
      <w:r w:rsidRPr="00BB5D86">
        <w:rPr>
          <w:rFonts w:asciiTheme="minorHAnsi" w:hAnsiTheme="minorHAnsi" w:cstheme="minorHAnsi"/>
          <w:b/>
          <w:sz w:val="22"/>
        </w:rPr>
        <w:t>Recommendation</w:t>
      </w:r>
      <w:r w:rsidR="000966B1">
        <w:rPr>
          <w:rFonts w:asciiTheme="minorHAnsi" w:hAnsiTheme="minorHAnsi" w:cstheme="minorHAnsi"/>
          <w:b/>
          <w:sz w:val="22"/>
        </w:rPr>
        <w:t xml:space="preserve"> #20</w:t>
      </w:r>
      <w:r w:rsidRPr="00BB5D86">
        <w:rPr>
          <w:rFonts w:asciiTheme="minorHAnsi" w:hAnsiTheme="minorHAnsi" w:cstheme="minorHAnsi"/>
          <w:b/>
          <w:sz w:val="22"/>
        </w:rPr>
        <w:t xml:space="preserve">: </w:t>
      </w:r>
      <w:r w:rsidR="00D244AD">
        <w:rPr>
          <w:rFonts w:asciiTheme="minorHAnsi" w:hAnsiTheme="minorHAnsi" w:cstheme="minorHAnsi"/>
          <w:sz w:val="22"/>
        </w:rPr>
        <w:t>that the Government review the pension assets test as recommended by the Henry Tax Review</w:t>
      </w:r>
    </w:p>
    <w:p w:rsidR="000E2500" w:rsidRPr="00BB5D86" w:rsidRDefault="000E2500" w:rsidP="000E2500">
      <w:pPr>
        <w:rPr>
          <w:rFonts w:asciiTheme="minorHAnsi" w:hAnsiTheme="minorHAnsi" w:cstheme="minorHAnsi"/>
          <w:b/>
          <w:sz w:val="22"/>
        </w:rPr>
      </w:pPr>
    </w:p>
    <w:p w:rsidR="000E2500" w:rsidRPr="00FE420F" w:rsidRDefault="00E40A44" w:rsidP="00EB6FE1">
      <w:pPr>
        <w:pStyle w:val="Heading3"/>
        <w:rPr>
          <w:sz w:val="24"/>
          <w:szCs w:val="24"/>
        </w:rPr>
      </w:pPr>
      <w:bookmarkStart w:id="26" w:name="_Toc379199702"/>
      <w:r w:rsidRPr="00FE420F">
        <w:rPr>
          <w:sz w:val="24"/>
          <w:szCs w:val="24"/>
        </w:rPr>
        <w:t>Combine</w:t>
      </w:r>
      <w:r w:rsidR="00EB6FE1" w:rsidRPr="00FE420F">
        <w:rPr>
          <w:sz w:val="24"/>
          <w:szCs w:val="24"/>
        </w:rPr>
        <w:t xml:space="preserve"> </w:t>
      </w:r>
      <w:r w:rsidRPr="00FE420F">
        <w:rPr>
          <w:sz w:val="24"/>
          <w:szCs w:val="24"/>
        </w:rPr>
        <w:t>F</w:t>
      </w:r>
      <w:r w:rsidR="00EB6FE1" w:rsidRPr="00FE420F">
        <w:rPr>
          <w:sz w:val="24"/>
          <w:szCs w:val="24"/>
        </w:rPr>
        <w:t xml:space="preserve">amily </w:t>
      </w:r>
      <w:r w:rsidRPr="00FE420F">
        <w:rPr>
          <w:sz w:val="24"/>
          <w:szCs w:val="24"/>
        </w:rPr>
        <w:t>T</w:t>
      </w:r>
      <w:r w:rsidR="00EB6FE1" w:rsidRPr="00FE420F">
        <w:rPr>
          <w:sz w:val="24"/>
          <w:szCs w:val="24"/>
        </w:rPr>
        <w:t xml:space="preserve">ax </w:t>
      </w:r>
      <w:r w:rsidRPr="00FE420F">
        <w:rPr>
          <w:sz w:val="24"/>
          <w:szCs w:val="24"/>
        </w:rPr>
        <w:t>B</w:t>
      </w:r>
      <w:r w:rsidR="00EB6FE1" w:rsidRPr="00FE420F">
        <w:rPr>
          <w:sz w:val="24"/>
          <w:szCs w:val="24"/>
        </w:rPr>
        <w:t xml:space="preserve">enefit </w:t>
      </w:r>
      <w:r w:rsidRPr="00FE420F">
        <w:rPr>
          <w:sz w:val="24"/>
          <w:szCs w:val="24"/>
        </w:rPr>
        <w:t>P</w:t>
      </w:r>
      <w:r w:rsidR="00EB6FE1" w:rsidRPr="00FE420F">
        <w:rPr>
          <w:sz w:val="24"/>
          <w:szCs w:val="24"/>
        </w:rPr>
        <w:t>arts A and B into a single payment</w:t>
      </w:r>
      <w:bookmarkEnd w:id="26"/>
    </w:p>
    <w:p w:rsidR="00EB6FE1" w:rsidRPr="00BB5D86" w:rsidRDefault="00EB6FE1" w:rsidP="000E2500">
      <w:pPr>
        <w:rPr>
          <w:rFonts w:asciiTheme="minorHAnsi" w:hAnsiTheme="minorHAnsi" w:cstheme="minorHAnsi"/>
          <w:b/>
          <w:sz w:val="22"/>
        </w:rPr>
      </w:pPr>
    </w:p>
    <w:p w:rsidR="000E2500" w:rsidRPr="00EB6FE1" w:rsidRDefault="00EB6FE1" w:rsidP="00EB6FE1">
      <w:pPr>
        <w:rPr>
          <w:rFonts w:asciiTheme="minorHAnsi" w:hAnsiTheme="minorHAnsi" w:cstheme="minorHAnsi"/>
          <w:sz w:val="22"/>
          <w:szCs w:val="22"/>
        </w:rPr>
      </w:pPr>
      <w:r w:rsidRPr="00EB6FE1">
        <w:rPr>
          <w:rFonts w:asciiTheme="minorHAnsi" w:hAnsiTheme="minorHAnsi" w:cstheme="minorHAnsi"/>
          <w:sz w:val="22"/>
          <w:szCs w:val="22"/>
        </w:rPr>
        <w:t xml:space="preserve">Family tax benefit Part B is a critical payment for single parents and low income families with a single primary income earner. </w:t>
      </w:r>
    </w:p>
    <w:p w:rsidR="00EB6FE1" w:rsidRPr="00EB6FE1" w:rsidRDefault="00EB6FE1" w:rsidP="00EB6FE1">
      <w:pPr>
        <w:rPr>
          <w:rFonts w:asciiTheme="minorHAnsi" w:hAnsiTheme="minorHAnsi" w:cstheme="minorHAnsi"/>
          <w:sz w:val="22"/>
          <w:szCs w:val="22"/>
        </w:rPr>
      </w:pPr>
    </w:p>
    <w:p w:rsidR="00EB6FE1" w:rsidRPr="00EB6FE1" w:rsidRDefault="00EB6FE1" w:rsidP="00EB6FE1">
      <w:pPr>
        <w:rPr>
          <w:rFonts w:asciiTheme="minorHAnsi" w:hAnsiTheme="minorHAnsi" w:cstheme="minorHAnsi"/>
          <w:sz w:val="22"/>
          <w:szCs w:val="22"/>
        </w:rPr>
      </w:pPr>
      <w:r w:rsidRPr="00EB6FE1">
        <w:rPr>
          <w:rFonts w:asciiTheme="minorHAnsi" w:hAnsiTheme="minorHAnsi" w:cstheme="minorHAnsi"/>
          <w:sz w:val="22"/>
          <w:szCs w:val="22"/>
        </w:rPr>
        <w:t>However, while a family may have up to $150K income from a single primary earner</w:t>
      </w:r>
      <w:r>
        <w:rPr>
          <w:rFonts w:asciiTheme="minorHAnsi" w:hAnsiTheme="minorHAnsi" w:cstheme="minorHAnsi"/>
          <w:sz w:val="22"/>
          <w:szCs w:val="22"/>
        </w:rPr>
        <w:t xml:space="preserve"> and receive FTB B</w:t>
      </w:r>
      <w:r w:rsidRPr="00EB6FE1">
        <w:rPr>
          <w:rFonts w:asciiTheme="minorHAnsi" w:hAnsiTheme="minorHAnsi" w:cstheme="minorHAnsi"/>
          <w:sz w:val="22"/>
          <w:szCs w:val="22"/>
        </w:rPr>
        <w:t xml:space="preserve">, </w:t>
      </w:r>
      <w:r>
        <w:rPr>
          <w:rFonts w:asciiTheme="minorHAnsi" w:hAnsiTheme="minorHAnsi" w:cstheme="minorHAnsi"/>
          <w:sz w:val="22"/>
          <w:szCs w:val="22"/>
        </w:rPr>
        <w:t>a family with</w:t>
      </w:r>
      <w:r w:rsidRPr="00EB6FE1">
        <w:rPr>
          <w:rFonts w:asciiTheme="minorHAnsi" w:hAnsiTheme="minorHAnsi" w:cstheme="minorHAnsi"/>
          <w:sz w:val="22"/>
          <w:szCs w:val="22"/>
        </w:rPr>
        <w:t xml:space="preserve"> two low income workers will lose qualification for the payment as soon as the lower earner earns </w:t>
      </w:r>
      <w:r w:rsidR="00D45B96" w:rsidRPr="00D45B96">
        <w:rPr>
          <w:rFonts w:asciiTheme="minorHAnsi" w:hAnsiTheme="minorHAnsi" w:cstheme="minorHAnsi"/>
          <w:sz w:val="22"/>
          <w:szCs w:val="22"/>
        </w:rPr>
        <w:t>more than $5</w:t>
      </w:r>
      <w:r w:rsidR="00D45B96">
        <w:rPr>
          <w:rFonts w:asciiTheme="minorHAnsi" w:hAnsiTheme="minorHAnsi" w:cstheme="minorHAnsi"/>
          <w:sz w:val="22"/>
          <w:szCs w:val="22"/>
        </w:rPr>
        <w:t>,</w:t>
      </w:r>
      <w:r w:rsidR="00D45B96" w:rsidRPr="00D45B96">
        <w:rPr>
          <w:rFonts w:asciiTheme="minorHAnsi" w:hAnsiTheme="minorHAnsi" w:cstheme="minorHAnsi"/>
          <w:sz w:val="22"/>
          <w:szCs w:val="22"/>
        </w:rPr>
        <w:t>183</w:t>
      </w:r>
      <w:r w:rsidRPr="00D45B96">
        <w:rPr>
          <w:rFonts w:asciiTheme="minorHAnsi" w:hAnsiTheme="minorHAnsi" w:cstheme="minorHAnsi"/>
          <w:sz w:val="22"/>
          <w:szCs w:val="22"/>
        </w:rPr>
        <w:t xml:space="preserve"> irrespective</w:t>
      </w:r>
      <w:r w:rsidRPr="00EB6FE1">
        <w:rPr>
          <w:rFonts w:asciiTheme="minorHAnsi" w:hAnsiTheme="minorHAnsi" w:cstheme="minorHAnsi"/>
          <w:sz w:val="22"/>
          <w:szCs w:val="22"/>
        </w:rPr>
        <w:t xml:space="preserve"> of the fact that the family as a whole may have combine income much lower than $150K.</w:t>
      </w:r>
    </w:p>
    <w:p w:rsidR="00EB6FE1" w:rsidRDefault="00EB6FE1" w:rsidP="000E2500">
      <w:pPr>
        <w:rPr>
          <w:rFonts w:asciiTheme="minorHAnsi" w:hAnsiTheme="minorHAnsi" w:cstheme="minorHAnsi"/>
          <w:sz w:val="22"/>
          <w:szCs w:val="22"/>
        </w:rPr>
      </w:pPr>
    </w:p>
    <w:p w:rsidR="00EB6FE1" w:rsidRDefault="00EB6FE1" w:rsidP="000E2500">
      <w:pPr>
        <w:rPr>
          <w:rFonts w:asciiTheme="minorHAnsi" w:hAnsiTheme="minorHAnsi" w:cstheme="minorHAnsi"/>
          <w:sz w:val="22"/>
          <w:szCs w:val="22"/>
        </w:rPr>
      </w:pPr>
      <w:r>
        <w:rPr>
          <w:rFonts w:asciiTheme="minorHAnsi" w:hAnsiTheme="minorHAnsi" w:cstheme="minorHAnsi"/>
          <w:sz w:val="22"/>
          <w:szCs w:val="22"/>
        </w:rPr>
        <w:t xml:space="preserve">FTB Part B would be cheaper to administer and </w:t>
      </w:r>
      <w:r w:rsidR="00AD50AC">
        <w:rPr>
          <w:rFonts w:asciiTheme="minorHAnsi" w:hAnsiTheme="minorHAnsi" w:cstheme="minorHAnsi"/>
          <w:sz w:val="22"/>
          <w:szCs w:val="22"/>
        </w:rPr>
        <w:t xml:space="preserve">would be far better targeted at families in need if the payment is rolled into the FTB Part A. The income test for Part A would ensure that </w:t>
      </w:r>
      <w:proofErr w:type="spellStart"/>
      <w:r w:rsidR="00AD50AC">
        <w:rPr>
          <w:rFonts w:asciiTheme="minorHAnsi" w:hAnsiTheme="minorHAnsi" w:cstheme="minorHAnsi"/>
          <w:sz w:val="22"/>
          <w:szCs w:val="22"/>
        </w:rPr>
        <w:t>payability</w:t>
      </w:r>
      <w:proofErr w:type="spellEnd"/>
      <w:r w:rsidR="00AD50AC">
        <w:rPr>
          <w:rFonts w:asciiTheme="minorHAnsi" w:hAnsiTheme="minorHAnsi" w:cstheme="minorHAnsi"/>
          <w:sz w:val="22"/>
          <w:szCs w:val="22"/>
        </w:rPr>
        <w:t xml:space="preserve"> is more fairly based on combined family income.</w:t>
      </w:r>
    </w:p>
    <w:p w:rsidR="00AD50AC" w:rsidRDefault="00AD50AC" w:rsidP="000E2500">
      <w:pPr>
        <w:rPr>
          <w:rFonts w:asciiTheme="minorHAnsi" w:hAnsiTheme="minorHAnsi" w:cstheme="minorHAnsi"/>
          <w:sz w:val="22"/>
          <w:szCs w:val="22"/>
        </w:rPr>
      </w:pPr>
    </w:p>
    <w:p w:rsidR="00AD50AC" w:rsidRDefault="00AD50AC" w:rsidP="000E2500">
      <w:pPr>
        <w:rPr>
          <w:rFonts w:asciiTheme="minorHAnsi" w:hAnsiTheme="minorHAnsi" w:cstheme="minorHAnsi"/>
          <w:sz w:val="22"/>
          <w:szCs w:val="22"/>
        </w:rPr>
      </w:pPr>
      <w:r>
        <w:rPr>
          <w:rFonts w:asciiTheme="minorHAnsi" w:hAnsiTheme="minorHAnsi" w:cstheme="minorHAnsi"/>
          <w:sz w:val="22"/>
          <w:szCs w:val="22"/>
        </w:rPr>
        <w:t>Alternatively, we support</w:t>
      </w:r>
      <w:r w:rsidR="001A6B4F">
        <w:rPr>
          <w:rFonts w:asciiTheme="minorHAnsi" w:hAnsiTheme="minorHAnsi" w:cstheme="minorHAnsi"/>
          <w:sz w:val="22"/>
          <w:szCs w:val="22"/>
        </w:rPr>
        <w:t xml:space="preserve"> a</w:t>
      </w:r>
      <w:r>
        <w:rPr>
          <w:rFonts w:asciiTheme="minorHAnsi" w:hAnsiTheme="minorHAnsi" w:cstheme="minorHAnsi"/>
          <w:sz w:val="22"/>
          <w:szCs w:val="22"/>
        </w:rPr>
        <w:t xml:space="preserve"> reduction in the $150K income threshold for primary earners provided that the savings are reinvested in the social security spending measures recommended above. </w:t>
      </w:r>
    </w:p>
    <w:p w:rsidR="00AD50AC" w:rsidRDefault="00AD50AC" w:rsidP="000E2500">
      <w:pPr>
        <w:rPr>
          <w:rFonts w:asciiTheme="minorHAnsi" w:hAnsiTheme="minorHAnsi" w:cstheme="minorHAnsi"/>
          <w:sz w:val="22"/>
          <w:szCs w:val="22"/>
        </w:rPr>
      </w:pPr>
    </w:p>
    <w:p w:rsidR="00EB6FE1" w:rsidRPr="00BB5D86" w:rsidRDefault="00AD50AC" w:rsidP="00275D98">
      <w:pPr>
        <w:pBdr>
          <w:top w:val="single" w:sz="4" w:space="1" w:color="auto"/>
          <w:left w:val="single" w:sz="4" w:space="4" w:color="auto"/>
          <w:bottom w:val="single" w:sz="4" w:space="1" w:color="auto"/>
          <w:right w:val="single" w:sz="4" w:space="4" w:color="auto"/>
        </w:pBdr>
        <w:rPr>
          <w:rFonts w:asciiTheme="minorHAnsi" w:hAnsiTheme="minorHAnsi" w:cstheme="minorHAnsi"/>
          <w:b/>
          <w:sz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D50AC">
        <w:rPr>
          <w:rFonts w:asciiTheme="minorHAnsi" w:hAnsiTheme="minorHAnsi" w:cstheme="minorHAnsi"/>
          <w:b/>
          <w:sz w:val="22"/>
          <w:szCs w:val="22"/>
        </w:rPr>
        <w:t>Recommendation</w:t>
      </w:r>
      <w:r w:rsidR="000966B1">
        <w:rPr>
          <w:rFonts w:asciiTheme="minorHAnsi" w:hAnsiTheme="minorHAnsi" w:cstheme="minorHAnsi"/>
          <w:b/>
          <w:sz w:val="22"/>
          <w:szCs w:val="22"/>
        </w:rPr>
        <w:t xml:space="preserve"> #21</w:t>
      </w:r>
      <w:r w:rsidRPr="00AD50AC">
        <w:rPr>
          <w:rFonts w:asciiTheme="minorHAnsi" w:hAnsiTheme="minorHAnsi" w:cstheme="minorHAnsi"/>
          <w:b/>
          <w:sz w:val="22"/>
          <w:szCs w:val="22"/>
        </w:rPr>
        <w:t>:</w:t>
      </w:r>
      <w:r>
        <w:rPr>
          <w:rFonts w:asciiTheme="minorHAnsi" w:hAnsiTheme="minorHAnsi" w:cstheme="minorHAnsi"/>
          <w:sz w:val="22"/>
          <w:szCs w:val="22"/>
        </w:rPr>
        <w:t xml:space="preserve"> </w:t>
      </w:r>
      <w:r w:rsidR="00275D98">
        <w:rPr>
          <w:rFonts w:asciiTheme="minorHAnsi" w:hAnsiTheme="minorHAnsi" w:cstheme="minorHAnsi"/>
          <w:sz w:val="22"/>
          <w:szCs w:val="22"/>
        </w:rPr>
        <w:t>That Government give in principle support to rolling Family Tax Benefits Part A and Part B into a single payment (with the income test being the existing income test for Part A) pending a detailed assessment of the effect of this proposal on lower income families.</w:t>
      </w:r>
    </w:p>
    <w:p w:rsidR="00B425E9" w:rsidRPr="0026007C" w:rsidRDefault="00B425E9" w:rsidP="00B425E9">
      <w:pPr>
        <w:pStyle w:val="Heading2"/>
      </w:pPr>
      <w:bookmarkStart w:id="27" w:name="_Toc379199703"/>
      <w:r w:rsidRPr="0026007C">
        <w:t>A more sustainable Paid Parental Leave (PPL) scheme</w:t>
      </w:r>
      <w:bookmarkEnd w:id="27"/>
    </w:p>
    <w:p w:rsidR="00B425E9" w:rsidRPr="00BB5D86" w:rsidRDefault="00B425E9" w:rsidP="00B425E9">
      <w:pPr>
        <w:rPr>
          <w:rFonts w:asciiTheme="minorHAnsi" w:hAnsiTheme="minorHAnsi" w:cstheme="minorHAnsi"/>
          <w:sz w:val="22"/>
        </w:rPr>
      </w:pPr>
    </w:p>
    <w:p w:rsidR="00B425E9" w:rsidRPr="00BB5D86" w:rsidRDefault="00B425E9" w:rsidP="00B425E9">
      <w:pPr>
        <w:rPr>
          <w:rFonts w:asciiTheme="minorHAnsi" w:hAnsiTheme="minorHAnsi" w:cstheme="minorHAnsi"/>
          <w:sz w:val="22"/>
        </w:rPr>
      </w:pPr>
      <w:r w:rsidRPr="00BB5D86">
        <w:rPr>
          <w:rFonts w:asciiTheme="minorHAnsi" w:hAnsiTheme="minorHAnsi" w:cstheme="minorHAnsi"/>
          <w:sz w:val="22"/>
        </w:rPr>
        <w:t>Under the</w:t>
      </w:r>
      <w:r w:rsidR="001A6B4F">
        <w:rPr>
          <w:rFonts w:asciiTheme="minorHAnsi" w:hAnsiTheme="minorHAnsi" w:cstheme="minorHAnsi"/>
          <w:sz w:val="22"/>
        </w:rPr>
        <w:t xml:space="preserve"> Government’s current proposal</w:t>
      </w:r>
      <w:r w:rsidRPr="00BB5D86">
        <w:rPr>
          <w:rFonts w:asciiTheme="minorHAnsi" w:hAnsiTheme="minorHAnsi" w:cstheme="minorHAnsi"/>
          <w:sz w:val="22"/>
        </w:rPr>
        <w:t xml:space="preserve">, the PPL </w:t>
      </w:r>
      <w:r w:rsidR="005F4022">
        <w:rPr>
          <w:rFonts w:asciiTheme="minorHAnsi" w:hAnsiTheme="minorHAnsi" w:cstheme="minorHAnsi"/>
          <w:sz w:val="22"/>
        </w:rPr>
        <w:t xml:space="preserve">government </w:t>
      </w:r>
      <w:r w:rsidRPr="00BB5D86">
        <w:rPr>
          <w:rFonts w:asciiTheme="minorHAnsi" w:hAnsiTheme="minorHAnsi" w:cstheme="minorHAnsi"/>
          <w:sz w:val="22"/>
        </w:rPr>
        <w:t>scheme will pay the full replacement wage (up to $150,000 per annum) of the parent for 26 weeks, rather than the current scheme, whereby the parent receives the minimum wage $622.10 per week for 18 weeks.</w:t>
      </w:r>
    </w:p>
    <w:p w:rsidR="00B425E9" w:rsidRPr="00BB5D86" w:rsidRDefault="00B425E9" w:rsidP="00B425E9">
      <w:pPr>
        <w:rPr>
          <w:rFonts w:asciiTheme="minorHAnsi" w:hAnsiTheme="minorHAnsi" w:cstheme="minorHAnsi"/>
          <w:sz w:val="22"/>
        </w:rPr>
      </w:pPr>
    </w:p>
    <w:p w:rsidR="00B425E9" w:rsidRDefault="001A6B4F" w:rsidP="00B425E9">
      <w:pPr>
        <w:pStyle w:val="NormalWeb"/>
        <w:rPr>
          <w:rFonts w:asciiTheme="minorHAnsi" w:hAnsiTheme="minorHAnsi" w:cstheme="minorHAnsi"/>
          <w:sz w:val="22"/>
        </w:rPr>
      </w:pPr>
      <w:r>
        <w:rPr>
          <w:rFonts w:asciiTheme="minorHAnsi" w:hAnsiTheme="minorHAnsi" w:cstheme="minorHAnsi"/>
          <w:sz w:val="22"/>
        </w:rPr>
        <w:t xml:space="preserve">Someone earning </w:t>
      </w:r>
      <w:r w:rsidR="00B425E9" w:rsidRPr="00BB5D86">
        <w:rPr>
          <w:rFonts w:asciiTheme="minorHAnsi" w:hAnsiTheme="minorHAnsi" w:cstheme="minorHAnsi"/>
          <w:sz w:val="22"/>
        </w:rPr>
        <w:t xml:space="preserve">$150,000 a year will receive a $75,000 government benefit while on parental leave. On the other side of the counter, a shop assistant on $42,000 a year will receive just $20,000. </w:t>
      </w:r>
    </w:p>
    <w:p w:rsidR="00B425E9" w:rsidRDefault="00B425E9" w:rsidP="00B425E9">
      <w:pPr>
        <w:pStyle w:val="NormalWeb"/>
        <w:rPr>
          <w:rFonts w:asciiTheme="minorHAnsi" w:hAnsiTheme="minorHAnsi" w:cstheme="minorHAnsi"/>
          <w:sz w:val="22"/>
        </w:rPr>
      </w:pPr>
      <w:r>
        <w:rPr>
          <w:rFonts w:asciiTheme="minorHAnsi" w:hAnsiTheme="minorHAnsi" w:cstheme="minorHAnsi"/>
          <w:sz w:val="22"/>
        </w:rPr>
        <w:t xml:space="preserve">A </w:t>
      </w:r>
      <w:r w:rsidR="005F4022">
        <w:rPr>
          <w:rFonts w:asciiTheme="minorHAnsi" w:hAnsiTheme="minorHAnsi" w:cstheme="minorHAnsi"/>
          <w:sz w:val="22"/>
        </w:rPr>
        <w:t xml:space="preserve">government- funded </w:t>
      </w:r>
      <w:r>
        <w:rPr>
          <w:rFonts w:asciiTheme="minorHAnsi" w:hAnsiTheme="minorHAnsi" w:cstheme="minorHAnsi"/>
          <w:sz w:val="22"/>
        </w:rPr>
        <w:t>paid parental leave scheme aimed at increasing workforce attachment and participation by women needs to be targeted so that expenditure goes to the people most likely to increase participation as a result of the paid parental leave payments. By directing expenditure to women with high incomes who already have high levels of workforce attachment the Government will not get maximum value for money. The Productivity Commission found that for such women, full income replacement would have “few incremental labour supply benefits”.</w:t>
      </w:r>
      <w:r>
        <w:rPr>
          <w:rStyle w:val="FootnoteReference"/>
          <w:rFonts w:asciiTheme="minorHAnsi" w:hAnsiTheme="minorHAnsi" w:cstheme="minorHAnsi"/>
          <w:sz w:val="22"/>
        </w:rPr>
        <w:footnoteReference w:id="35"/>
      </w:r>
    </w:p>
    <w:p w:rsidR="00B425E9" w:rsidRDefault="00B425E9" w:rsidP="00B425E9">
      <w:pPr>
        <w:pStyle w:val="NormalWeb"/>
        <w:rPr>
          <w:rFonts w:asciiTheme="minorHAnsi" w:hAnsiTheme="minorHAnsi" w:cstheme="minorHAnsi"/>
          <w:sz w:val="22"/>
        </w:rPr>
      </w:pPr>
      <w:r>
        <w:rPr>
          <w:rFonts w:asciiTheme="minorHAnsi" w:hAnsiTheme="minorHAnsi" w:cstheme="minorHAnsi"/>
          <w:sz w:val="22"/>
        </w:rPr>
        <w:t>The scheme would be better targeted to lower income families for whom the financial incentives to remain in the workforce are low (</w:t>
      </w:r>
      <w:proofErr w:type="spellStart"/>
      <w:r>
        <w:rPr>
          <w:rFonts w:asciiTheme="minorHAnsi" w:hAnsiTheme="minorHAnsi" w:cstheme="minorHAnsi"/>
          <w:sz w:val="22"/>
        </w:rPr>
        <w:t>eg</w:t>
      </w:r>
      <w:proofErr w:type="spellEnd"/>
      <w:r>
        <w:rPr>
          <w:rFonts w:asciiTheme="minorHAnsi" w:hAnsiTheme="minorHAnsi" w:cstheme="minorHAnsi"/>
          <w:sz w:val="22"/>
        </w:rPr>
        <w:t xml:space="preserve"> where the benefits of remaining in the workforce are undermined by the relative costs of child care). </w:t>
      </w:r>
    </w:p>
    <w:p w:rsidR="00B425E9" w:rsidRPr="00BB5D86" w:rsidRDefault="00B425E9" w:rsidP="00B425E9">
      <w:pPr>
        <w:pStyle w:val="NormalWeb"/>
        <w:rPr>
          <w:rFonts w:asciiTheme="minorHAnsi" w:hAnsiTheme="minorHAnsi" w:cstheme="minorHAnsi"/>
          <w:sz w:val="22"/>
        </w:rPr>
      </w:pPr>
      <w:r>
        <w:rPr>
          <w:rFonts w:asciiTheme="minorHAnsi" w:hAnsiTheme="minorHAnsi" w:cstheme="minorHAnsi"/>
          <w:sz w:val="22"/>
        </w:rPr>
        <w:t>This might be done by lowering the income cap or, by paying it at a flat rate.  The Productivity Commission considered that it should be paid at a flat rate because it “</w:t>
      </w:r>
      <w:r w:rsidRPr="00EE3E89">
        <w:rPr>
          <w:rFonts w:asciiTheme="minorHAnsi" w:hAnsiTheme="minorHAnsi" w:cstheme="minorHAnsi"/>
          <w:i/>
          <w:sz w:val="22"/>
        </w:rPr>
        <w:t>would mean labour supply effects would be greatest for lower income, less skilled women – precisely those who are most responsive to wage subsidies and who are least likely to have privately negotiated paid parental leave</w:t>
      </w:r>
      <w:r>
        <w:rPr>
          <w:rFonts w:asciiTheme="minorHAnsi" w:hAnsiTheme="minorHAnsi" w:cstheme="minorHAnsi"/>
          <w:sz w:val="22"/>
        </w:rPr>
        <w:t xml:space="preserve">”. </w:t>
      </w:r>
      <w:r>
        <w:rPr>
          <w:rStyle w:val="FootnoteReference"/>
          <w:rFonts w:asciiTheme="minorHAnsi" w:hAnsiTheme="minorHAnsi" w:cstheme="minorHAnsi"/>
          <w:sz w:val="22"/>
        </w:rPr>
        <w:footnoteReference w:id="36"/>
      </w:r>
    </w:p>
    <w:p w:rsidR="00B425E9" w:rsidRPr="00BB5D86" w:rsidRDefault="00B425E9" w:rsidP="00B425E9">
      <w:pPr>
        <w:pBdr>
          <w:top w:val="single" w:sz="4" w:space="1" w:color="auto"/>
          <w:left w:val="single" w:sz="4" w:space="4" w:color="auto"/>
          <w:bottom w:val="single" w:sz="4" w:space="1" w:color="auto"/>
          <w:right w:val="single" w:sz="4" w:space="4" w:color="auto"/>
        </w:pBdr>
        <w:rPr>
          <w:rFonts w:asciiTheme="minorHAnsi" w:hAnsiTheme="minorHAnsi" w:cstheme="minorHAnsi"/>
          <w:b/>
          <w:sz w:val="22"/>
        </w:rPr>
      </w:pPr>
      <w:r w:rsidRPr="00BB5D86">
        <w:rPr>
          <w:rFonts w:asciiTheme="minorHAnsi" w:hAnsiTheme="minorHAnsi" w:cstheme="minorHAnsi"/>
          <w:b/>
          <w:sz w:val="22"/>
        </w:rPr>
        <w:t>Recommendation</w:t>
      </w:r>
      <w:r w:rsidR="000966B1">
        <w:rPr>
          <w:rFonts w:asciiTheme="minorHAnsi" w:hAnsiTheme="minorHAnsi" w:cstheme="minorHAnsi"/>
          <w:b/>
          <w:sz w:val="22"/>
        </w:rPr>
        <w:t xml:space="preserve"> #22</w:t>
      </w:r>
      <w:r w:rsidRPr="00BB5D86">
        <w:rPr>
          <w:rFonts w:asciiTheme="minorHAnsi" w:hAnsiTheme="minorHAnsi" w:cstheme="minorHAnsi"/>
          <w:b/>
          <w:sz w:val="22"/>
        </w:rPr>
        <w:t xml:space="preserve">: </w:t>
      </w:r>
      <w:r w:rsidRPr="000966B1">
        <w:rPr>
          <w:rFonts w:asciiTheme="minorHAnsi" w:hAnsiTheme="minorHAnsi" w:cstheme="minorHAnsi"/>
          <w:sz w:val="22"/>
        </w:rPr>
        <w:t xml:space="preserve">That the Federal Government </w:t>
      </w:r>
      <w:r w:rsidR="001A6B4F">
        <w:rPr>
          <w:rFonts w:asciiTheme="minorHAnsi" w:hAnsiTheme="minorHAnsi" w:cstheme="minorHAnsi"/>
          <w:sz w:val="22"/>
        </w:rPr>
        <w:t xml:space="preserve">develop a more tightly targeted and less costly government-funded </w:t>
      </w:r>
      <w:r w:rsidRPr="000966B1">
        <w:rPr>
          <w:rFonts w:asciiTheme="minorHAnsi" w:hAnsiTheme="minorHAnsi" w:cstheme="minorHAnsi"/>
          <w:sz w:val="22"/>
        </w:rPr>
        <w:t xml:space="preserve">Paid Parental </w:t>
      </w:r>
      <w:r w:rsidR="00F93C12">
        <w:rPr>
          <w:rFonts w:asciiTheme="minorHAnsi" w:hAnsiTheme="minorHAnsi" w:cstheme="minorHAnsi"/>
          <w:sz w:val="22"/>
        </w:rPr>
        <w:t xml:space="preserve">Leave </w:t>
      </w:r>
      <w:r w:rsidRPr="000966B1">
        <w:rPr>
          <w:rFonts w:asciiTheme="minorHAnsi" w:hAnsiTheme="minorHAnsi" w:cstheme="minorHAnsi"/>
          <w:sz w:val="22"/>
        </w:rPr>
        <w:t>Scheme</w:t>
      </w:r>
      <w:r w:rsidR="001A6B4F">
        <w:rPr>
          <w:rFonts w:asciiTheme="minorHAnsi" w:hAnsiTheme="minorHAnsi" w:cstheme="minorHAnsi"/>
          <w:sz w:val="22"/>
        </w:rPr>
        <w:t>.  That the Federal Government introduce a national minimum award standard to ensure that industrial arrangements provide for</w:t>
      </w:r>
      <w:r w:rsidR="00F93C12">
        <w:rPr>
          <w:rFonts w:asciiTheme="minorHAnsi" w:hAnsiTheme="minorHAnsi" w:cstheme="minorHAnsi"/>
          <w:sz w:val="22"/>
        </w:rPr>
        <w:t xml:space="preserve"> </w:t>
      </w:r>
      <w:r w:rsidR="001A6B4F">
        <w:rPr>
          <w:rFonts w:asciiTheme="minorHAnsi" w:hAnsiTheme="minorHAnsi" w:cstheme="minorHAnsi"/>
          <w:sz w:val="22"/>
        </w:rPr>
        <w:t>full replacement of wages</w:t>
      </w:r>
      <w:r w:rsidR="00F93C12">
        <w:rPr>
          <w:rFonts w:asciiTheme="minorHAnsi" w:hAnsiTheme="minorHAnsi" w:cstheme="minorHAnsi"/>
          <w:sz w:val="22"/>
        </w:rPr>
        <w:t xml:space="preserve"> for parental leave</w:t>
      </w:r>
      <w:r w:rsidR="001A6B4F">
        <w:rPr>
          <w:rFonts w:asciiTheme="minorHAnsi" w:hAnsiTheme="minorHAnsi" w:cstheme="minorHAnsi"/>
          <w:sz w:val="22"/>
        </w:rPr>
        <w:t>.</w:t>
      </w:r>
    </w:p>
    <w:p w:rsidR="00B425E9" w:rsidRPr="00BB5D86" w:rsidRDefault="00B425E9" w:rsidP="00B425E9">
      <w:pPr>
        <w:rPr>
          <w:rFonts w:asciiTheme="minorHAnsi" w:hAnsiTheme="minorHAnsi" w:cstheme="minorHAnsi"/>
          <w:sz w:val="22"/>
        </w:rPr>
      </w:pPr>
    </w:p>
    <w:p w:rsidR="000E2500" w:rsidRPr="00730EB9" w:rsidRDefault="000E2500" w:rsidP="008D6F44">
      <w:pPr>
        <w:pStyle w:val="Heading2"/>
      </w:pPr>
      <w:bookmarkStart w:id="28" w:name="_Toc379199704"/>
      <w:r w:rsidRPr="00730EB9">
        <w:t xml:space="preserve">Tax and Revenue </w:t>
      </w:r>
      <w:r>
        <w:t>savings</w:t>
      </w:r>
      <w:bookmarkEnd w:id="28"/>
    </w:p>
    <w:p w:rsidR="000E2500" w:rsidRDefault="000E2500" w:rsidP="000E2500">
      <w:pPr>
        <w:rPr>
          <w:rFonts w:asciiTheme="minorHAnsi" w:hAnsiTheme="minorHAnsi" w:cstheme="minorHAnsi"/>
          <w:sz w:val="22"/>
        </w:rPr>
      </w:pPr>
    </w:p>
    <w:p w:rsidR="005F4022" w:rsidRDefault="005F4022" w:rsidP="000E2500">
      <w:pPr>
        <w:rPr>
          <w:rFonts w:asciiTheme="minorHAnsi" w:hAnsiTheme="minorHAnsi" w:cstheme="minorHAnsi"/>
          <w:sz w:val="22"/>
        </w:rPr>
      </w:pPr>
      <w:r>
        <w:rPr>
          <w:rFonts w:asciiTheme="minorHAnsi" w:hAnsiTheme="minorHAnsi" w:cstheme="minorHAnsi"/>
          <w:sz w:val="22"/>
        </w:rPr>
        <w:t>The National Welfare Rights Network supports the ACOSS submission with respect to taxation and other revenue savings outside of the welfare budget.  Below we outline a few of those proposed measures.</w:t>
      </w:r>
    </w:p>
    <w:p w:rsidR="000E2500" w:rsidRPr="00BB5D86" w:rsidRDefault="000E2500" w:rsidP="008D6F44">
      <w:pPr>
        <w:pStyle w:val="Heading3"/>
      </w:pPr>
      <w:bookmarkStart w:id="29" w:name="_Toc379199705"/>
      <w:r w:rsidRPr="00BB5D86">
        <w:t>Reduc</w:t>
      </w:r>
      <w:r>
        <w:t xml:space="preserve">e </w:t>
      </w:r>
      <w:r w:rsidRPr="00BB5D86">
        <w:t xml:space="preserve">the annual cap on </w:t>
      </w:r>
      <w:proofErr w:type="spellStart"/>
      <w:r w:rsidRPr="00BB5D86">
        <w:t>concessionally</w:t>
      </w:r>
      <w:proofErr w:type="spellEnd"/>
      <w:r w:rsidR="005F4022">
        <w:t>-</w:t>
      </w:r>
      <w:r w:rsidRPr="00BB5D86">
        <w:t>taxed superannuation contributions</w:t>
      </w:r>
      <w:bookmarkEnd w:id="29"/>
      <w:r w:rsidRPr="00BB5D86">
        <w:t xml:space="preserve"> </w:t>
      </w:r>
    </w:p>
    <w:p w:rsidR="000E2500" w:rsidRPr="00BB5D86" w:rsidRDefault="000E2500" w:rsidP="000E2500">
      <w:pPr>
        <w:rPr>
          <w:rFonts w:asciiTheme="minorHAnsi" w:hAnsiTheme="minorHAnsi" w:cstheme="minorHAnsi"/>
          <w:b/>
          <w:sz w:val="22"/>
        </w:rPr>
      </w:pPr>
    </w:p>
    <w:p w:rsidR="000E2500" w:rsidRPr="00BB5D86" w:rsidRDefault="000E2500" w:rsidP="000E2500">
      <w:pPr>
        <w:rPr>
          <w:rFonts w:asciiTheme="minorHAnsi" w:hAnsiTheme="minorHAnsi" w:cstheme="minorHAnsi"/>
          <w:sz w:val="22"/>
        </w:rPr>
      </w:pPr>
      <w:r w:rsidRPr="00BB5D86">
        <w:rPr>
          <w:rFonts w:asciiTheme="minorHAnsi" w:hAnsiTheme="minorHAnsi" w:cstheme="minorHAnsi"/>
          <w:sz w:val="22"/>
        </w:rPr>
        <w:t xml:space="preserve">Super tax concessions (tax expenditures) are currently skewed heavily in favour of high income earners. The flat 15% tax on employer contributions means those on the top marginal tax rate avoid paying over 30 cents in tax for every dollar contributed to super, while those below the tax free threshold pay 15c more for every dollar contributed to super. The cap on </w:t>
      </w:r>
      <w:proofErr w:type="spellStart"/>
      <w:r w:rsidRPr="00BB5D86">
        <w:rPr>
          <w:rFonts w:asciiTheme="minorHAnsi" w:hAnsiTheme="minorHAnsi" w:cstheme="minorHAnsi"/>
          <w:sz w:val="22"/>
        </w:rPr>
        <w:t>concessionally</w:t>
      </w:r>
      <w:proofErr w:type="spellEnd"/>
      <w:r w:rsidR="005F4022">
        <w:rPr>
          <w:rFonts w:asciiTheme="minorHAnsi" w:hAnsiTheme="minorHAnsi" w:cstheme="minorHAnsi"/>
          <w:sz w:val="22"/>
        </w:rPr>
        <w:t>-</w:t>
      </w:r>
      <w:r w:rsidRPr="00BB5D86">
        <w:rPr>
          <w:rFonts w:asciiTheme="minorHAnsi" w:hAnsiTheme="minorHAnsi" w:cstheme="minorHAnsi"/>
          <w:sz w:val="22"/>
        </w:rPr>
        <w:t xml:space="preserve">taxed superannuation contributions should be restored to $25,000. </w:t>
      </w:r>
    </w:p>
    <w:p w:rsidR="000E2500" w:rsidRPr="00BB5D86" w:rsidRDefault="000E2500" w:rsidP="000E2500">
      <w:pPr>
        <w:jc w:val="right"/>
        <w:rPr>
          <w:rFonts w:asciiTheme="minorHAnsi" w:hAnsiTheme="minorHAnsi" w:cstheme="minorHAnsi"/>
          <w:b/>
          <w:sz w:val="22"/>
        </w:rPr>
      </w:pPr>
    </w:p>
    <w:p w:rsidR="000E2500" w:rsidRPr="00BB5D86" w:rsidRDefault="000E2500" w:rsidP="000E2500">
      <w:pPr>
        <w:pBdr>
          <w:top w:val="single" w:sz="4" w:space="1" w:color="auto"/>
          <w:left w:val="single" w:sz="4" w:space="4" w:color="auto"/>
          <w:bottom w:val="single" w:sz="4" w:space="1" w:color="auto"/>
          <w:right w:val="single" w:sz="4" w:space="4" w:color="auto"/>
        </w:pBdr>
        <w:rPr>
          <w:rFonts w:asciiTheme="minorHAnsi" w:hAnsiTheme="minorHAnsi" w:cstheme="minorHAnsi"/>
          <w:b/>
          <w:sz w:val="22"/>
        </w:rPr>
      </w:pPr>
      <w:r w:rsidRPr="00BB5D86">
        <w:rPr>
          <w:rFonts w:asciiTheme="minorHAnsi" w:hAnsiTheme="minorHAnsi" w:cstheme="minorHAnsi"/>
          <w:b/>
          <w:sz w:val="22"/>
        </w:rPr>
        <w:t>Recommendation</w:t>
      </w:r>
      <w:r w:rsidR="000966B1">
        <w:rPr>
          <w:rFonts w:asciiTheme="minorHAnsi" w:hAnsiTheme="minorHAnsi" w:cstheme="minorHAnsi"/>
          <w:b/>
          <w:sz w:val="22"/>
        </w:rPr>
        <w:t xml:space="preserve"> #23</w:t>
      </w:r>
      <w:r w:rsidRPr="00BB5D86">
        <w:rPr>
          <w:rFonts w:asciiTheme="minorHAnsi" w:hAnsiTheme="minorHAnsi" w:cstheme="minorHAnsi"/>
          <w:b/>
          <w:sz w:val="22"/>
        </w:rPr>
        <w:t>:</w:t>
      </w:r>
      <w:r w:rsidRPr="000966B1">
        <w:rPr>
          <w:rFonts w:asciiTheme="minorHAnsi" w:hAnsiTheme="minorHAnsi" w:cstheme="minorHAnsi"/>
          <w:sz w:val="22"/>
        </w:rPr>
        <w:t xml:space="preserve"> Half a billion will be saved in 2015-16 and $800 million in 2016-17 if the Government were to restoring the $25,000 annual cap on </w:t>
      </w:r>
      <w:proofErr w:type="spellStart"/>
      <w:r w:rsidRPr="000966B1">
        <w:rPr>
          <w:rFonts w:asciiTheme="minorHAnsi" w:hAnsiTheme="minorHAnsi" w:cstheme="minorHAnsi"/>
          <w:sz w:val="22"/>
        </w:rPr>
        <w:t>concessionally</w:t>
      </w:r>
      <w:proofErr w:type="spellEnd"/>
      <w:r w:rsidR="005F4022">
        <w:rPr>
          <w:rFonts w:asciiTheme="minorHAnsi" w:hAnsiTheme="minorHAnsi" w:cstheme="minorHAnsi"/>
          <w:sz w:val="22"/>
        </w:rPr>
        <w:t>-</w:t>
      </w:r>
      <w:r w:rsidRPr="000966B1">
        <w:rPr>
          <w:rFonts w:asciiTheme="minorHAnsi" w:hAnsiTheme="minorHAnsi" w:cstheme="minorHAnsi"/>
          <w:sz w:val="22"/>
        </w:rPr>
        <w:t>taxed superannuation contributions.</w:t>
      </w:r>
      <w:r w:rsidRPr="00BB5D86">
        <w:rPr>
          <w:rFonts w:asciiTheme="minorHAnsi" w:hAnsiTheme="minorHAnsi" w:cstheme="minorHAnsi"/>
          <w:b/>
          <w:sz w:val="22"/>
        </w:rPr>
        <w:t xml:space="preserve"> </w:t>
      </w:r>
    </w:p>
    <w:p w:rsidR="000E2500" w:rsidRPr="00BB5D86" w:rsidRDefault="000E2500" w:rsidP="00D3169B">
      <w:pPr>
        <w:rPr>
          <w:rFonts w:asciiTheme="minorHAnsi" w:hAnsiTheme="minorHAnsi" w:cstheme="minorHAnsi"/>
          <w:sz w:val="22"/>
        </w:rPr>
      </w:pPr>
    </w:p>
    <w:p w:rsidR="000E2500" w:rsidRPr="00FE420F" w:rsidRDefault="000E2500" w:rsidP="008D6F44">
      <w:pPr>
        <w:pStyle w:val="Heading3"/>
        <w:rPr>
          <w:sz w:val="24"/>
          <w:szCs w:val="24"/>
        </w:rPr>
      </w:pPr>
      <w:bookmarkStart w:id="30" w:name="_Toc379199706"/>
      <w:r w:rsidRPr="00FE420F">
        <w:rPr>
          <w:sz w:val="24"/>
          <w:szCs w:val="24"/>
        </w:rPr>
        <w:t>Limit use of private tax as a tax minimisation vehicle</w:t>
      </w:r>
      <w:bookmarkEnd w:id="30"/>
    </w:p>
    <w:p w:rsidR="000E2500" w:rsidRPr="00BB5D86" w:rsidRDefault="000E2500" w:rsidP="000E2500">
      <w:pPr>
        <w:rPr>
          <w:rFonts w:asciiTheme="minorHAnsi" w:hAnsiTheme="minorHAnsi" w:cstheme="minorHAnsi"/>
          <w:sz w:val="22"/>
        </w:rPr>
      </w:pPr>
    </w:p>
    <w:p w:rsidR="000E2500" w:rsidRPr="00BB5D86" w:rsidRDefault="000E2500" w:rsidP="000E2500">
      <w:pPr>
        <w:rPr>
          <w:rFonts w:asciiTheme="minorHAnsi" w:hAnsiTheme="minorHAnsi" w:cstheme="minorHAnsi"/>
          <w:sz w:val="22"/>
        </w:rPr>
      </w:pPr>
      <w:r w:rsidRPr="00BB5D86">
        <w:rPr>
          <w:rFonts w:asciiTheme="minorHAnsi" w:hAnsiTheme="minorHAnsi" w:cstheme="minorHAnsi"/>
          <w:sz w:val="22"/>
        </w:rPr>
        <w:t>ACOSS argues that tax-preferred income of private discretionary trusts should tax capital gains in the hands of beneficiaries and strong measures should be introduced to prevent the trustees from avoiding tax on income (including capital gains) that is not distributed to beneficiaries each year. The use of private trusts to avoid personal income tax should be curbed.</w:t>
      </w:r>
    </w:p>
    <w:p w:rsidR="000E2500" w:rsidRPr="00BB5D86" w:rsidRDefault="000E2500" w:rsidP="000E2500">
      <w:pPr>
        <w:rPr>
          <w:rFonts w:asciiTheme="minorHAnsi" w:hAnsiTheme="minorHAnsi" w:cstheme="minorHAnsi"/>
          <w:sz w:val="22"/>
        </w:rPr>
      </w:pPr>
    </w:p>
    <w:p w:rsidR="000E2500" w:rsidRPr="00BB5D86" w:rsidRDefault="000E2500" w:rsidP="000E2500">
      <w:pPr>
        <w:pBdr>
          <w:top w:val="single" w:sz="4" w:space="1" w:color="auto"/>
          <w:left w:val="single" w:sz="4" w:space="4" w:color="auto"/>
          <w:bottom w:val="single" w:sz="4" w:space="1" w:color="auto"/>
          <w:right w:val="single" w:sz="4" w:space="4" w:color="auto"/>
        </w:pBdr>
        <w:rPr>
          <w:rFonts w:asciiTheme="minorHAnsi" w:hAnsiTheme="minorHAnsi" w:cstheme="minorHAnsi"/>
          <w:b/>
          <w:sz w:val="22"/>
        </w:rPr>
      </w:pPr>
      <w:r w:rsidRPr="00BB5D86">
        <w:rPr>
          <w:rFonts w:asciiTheme="minorHAnsi" w:hAnsiTheme="minorHAnsi" w:cstheme="minorHAnsi"/>
          <w:b/>
          <w:sz w:val="22"/>
        </w:rPr>
        <w:t>Recommendation</w:t>
      </w:r>
      <w:r w:rsidR="000966B1">
        <w:rPr>
          <w:rFonts w:asciiTheme="minorHAnsi" w:hAnsiTheme="minorHAnsi" w:cstheme="minorHAnsi"/>
          <w:b/>
          <w:sz w:val="22"/>
        </w:rPr>
        <w:t xml:space="preserve"> #25</w:t>
      </w:r>
      <w:r w:rsidRPr="00BB5D86">
        <w:rPr>
          <w:rFonts w:asciiTheme="minorHAnsi" w:hAnsiTheme="minorHAnsi" w:cstheme="minorHAnsi"/>
          <w:b/>
          <w:sz w:val="22"/>
        </w:rPr>
        <w:t xml:space="preserve">: </w:t>
      </w:r>
      <w:r w:rsidRPr="000966B1">
        <w:rPr>
          <w:rFonts w:asciiTheme="minorHAnsi" w:hAnsiTheme="minorHAnsi" w:cstheme="minorHAnsi"/>
          <w:sz w:val="22"/>
        </w:rPr>
        <w:t>That, from July 2014, the use of private trusts to avoid personal income tax should be curbed, raising $1000 million per annum.</w:t>
      </w:r>
      <w:r w:rsidRPr="00BB5D86">
        <w:rPr>
          <w:rFonts w:asciiTheme="minorHAnsi" w:hAnsiTheme="minorHAnsi" w:cstheme="minorHAnsi"/>
          <w:b/>
          <w:sz w:val="22"/>
        </w:rPr>
        <w:t xml:space="preserve"> </w:t>
      </w:r>
    </w:p>
    <w:p w:rsidR="000E2500" w:rsidRPr="00D3169B" w:rsidRDefault="00084EDB" w:rsidP="00D3169B">
      <w:pPr>
        <w:pStyle w:val="Heading3"/>
        <w:rPr>
          <w:sz w:val="24"/>
          <w:szCs w:val="24"/>
        </w:rPr>
      </w:pPr>
      <w:bookmarkStart w:id="31" w:name="_Toc379199707"/>
      <w:r w:rsidRPr="00D3169B">
        <w:rPr>
          <w:sz w:val="24"/>
          <w:szCs w:val="24"/>
        </w:rPr>
        <w:t>Greater scrutiny of business taxation expenditures</w:t>
      </w:r>
      <w:bookmarkEnd w:id="31"/>
    </w:p>
    <w:p w:rsidR="00D3169B" w:rsidRPr="00D3169B" w:rsidRDefault="00D3169B" w:rsidP="000E2500">
      <w:pPr>
        <w:spacing w:after="200" w:line="276" w:lineRule="auto"/>
        <w:jc w:val="both"/>
        <w:rPr>
          <w:rFonts w:asciiTheme="minorHAnsi" w:hAnsiTheme="minorHAnsi" w:cstheme="minorHAnsi"/>
        </w:rPr>
      </w:pPr>
    </w:p>
    <w:p w:rsidR="000E2500" w:rsidRPr="00BB5D86" w:rsidRDefault="000E2500" w:rsidP="000E2500">
      <w:pPr>
        <w:spacing w:after="200" w:line="276" w:lineRule="auto"/>
        <w:jc w:val="both"/>
        <w:rPr>
          <w:rFonts w:asciiTheme="minorHAnsi" w:hAnsiTheme="minorHAnsi" w:cstheme="minorHAnsi"/>
          <w:sz w:val="22"/>
        </w:rPr>
      </w:pPr>
      <w:r w:rsidRPr="00BB5D86">
        <w:rPr>
          <w:rFonts w:asciiTheme="minorHAnsi" w:hAnsiTheme="minorHAnsi" w:cstheme="minorHAnsi"/>
          <w:sz w:val="22"/>
        </w:rPr>
        <w:t xml:space="preserve">Taxation expenditure and </w:t>
      </w:r>
      <w:r w:rsidR="00084EDB">
        <w:rPr>
          <w:rFonts w:asciiTheme="minorHAnsi" w:hAnsiTheme="minorHAnsi" w:cstheme="minorHAnsi"/>
          <w:sz w:val="22"/>
        </w:rPr>
        <w:t>handouts</w:t>
      </w:r>
      <w:r w:rsidR="00084EDB" w:rsidRPr="00BB5D86">
        <w:rPr>
          <w:rFonts w:asciiTheme="minorHAnsi" w:hAnsiTheme="minorHAnsi" w:cstheme="minorHAnsi"/>
          <w:sz w:val="22"/>
        </w:rPr>
        <w:t xml:space="preserve"> </w:t>
      </w:r>
      <w:r w:rsidRPr="00BB5D86">
        <w:rPr>
          <w:rFonts w:asciiTheme="minorHAnsi" w:hAnsiTheme="minorHAnsi" w:cstheme="minorHAnsi"/>
          <w:sz w:val="22"/>
        </w:rPr>
        <w:t>to business receive little scrutiny, compared to welfare spending, for instance. However, recent statements by the Treasurer, Joe Hockey, indicate that the Government might have an appetite to further examine these expenditures. NWRN believes that measures must be taken to ensure greater scrutiny and transparency of all Government expenditures – the parliament and the public should not only scrutinise not just expenditure on the poor, the sick and the unemployed.</w:t>
      </w:r>
    </w:p>
    <w:p w:rsidR="000E2500" w:rsidRPr="00BB5D86" w:rsidRDefault="000E2500" w:rsidP="000E2500">
      <w:pPr>
        <w:pBdr>
          <w:top w:val="single" w:sz="4" w:space="1" w:color="auto"/>
          <w:left w:val="single" w:sz="4" w:space="4" w:color="auto"/>
          <w:bottom w:val="single" w:sz="4" w:space="1" w:color="auto"/>
          <w:right w:val="single" w:sz="4" w:space="4" w:color="auto"/>
        </w:pBdr>
        <w:spacing w:after="200" w:line="276" w:lineRule="auto"/>
        <w:jc w:val="both"/>
        <w:rPr>
          <w:rFonts w:asciiTheme="minorHAnsi" w:hAnsiTheme="minorHAnsi" w:cstheme="minorHAnsi"/>
          <w:b/>
          <w:sz w:val="22"/>
        </w:rPr>
      </w:pPr>
      <w:r w:rsidRPr="00BB5D86">
        <w:rPr>
          <w:rFonts w:asciiTheme="minorHAnsi" w:hAnsiTheme="minorHAnsi" w:cstheme="minorHAnsi"/>
          <w:b/>
          <w:sz w:val="22"/>
        </w:rPr>
        <w:t>Recommendation</w:t>
      </w:r>
      <w:r w:rsidR="00D3169B">
        <w:rPr>
          <w:rFonts w:asciiTheme="minorHAnsi" w:hAnsiTheme="minorHAnsi" w:cstheme="minorHAnsi"/>
          <w:b/>
          <w:sz w:val="22"/>
        </w:rPr>
        <w:t xml:space="preserve"> #26</w:t>
      </w:r>
      <w:r w:rsidRPr="00BB5D86">
        <w:rPr>
          <w:rFonts w:asciiTheme="minorHAnsi" w:hAnsiTheme="minorHAnsi" w:cstheme="minorHAnsi"/>
          <w:b/>
          <w:sz w:val="22"/>
        </w:rPr>
        <w:t>:</w:t>
      </w:r>
      <w:r w:rsidRPr="000966B1">
        <w:rPr>
          <w:rFonts w:asciiTheme="minorHAnsi" w:hAnsiTheme="minorHAnsi" w:cstheme="minorHAnsi"/>
          <w:sz w:val="22"/>
        </w:rPr>
        <w:t xml:space="preserve"> Tax expenditures should be reviewed each year by the Treasury and Expenditure Review Committee. Tax expenditures that are poorly targeted should be reduced or abolished.</w:t>
      </w:r>
      <w:r w:rsidRPr="00BB5D86">
        <w:rPr>
          <w:rFonts w:asciiTheme="minorHAnsi" w:hAnsiTheme="minorHAnsi" w:cstheme="minorHAnsi"/>
          <w:b/>
          <w:sz w:val="22"/>
        </w:rPr>
        <w:t xml:space="preserve"> </w:t>
      </w:r>
    </w:p>
    <w:p w:rsidR="000E2500" w:rsidRPr="00D3169B" w:rsidRDefault="00F93C12" w:rsidP="000966B1">
      <w:pPr>
        <w:pStyle w:val="Heading3"/>
        <w:rPr>
          <w:rStyle w:val="Strong"/>
          <w:rFonts w:asciiTheme="majorHAnsi" w:hAnsiTheme="majorHAnsi"/>
          <w:sz w:val="24"/>
          <w:szCs w:val="24"/>
        </w:rPr>
      </w:pPr>
      <w:bookmarkStart w:id="32" w:name="_Toc379199708"/>
      <w:r w:rsidRPr="00D3169B">
        <w:rPr>
          <w:rStyle w:val="Strong"/>
          <w:rFonts w:asciiTheme="majorHAnsi" w:hAnsiTheme="majorHAnsi"/>
          <w:sz w:val="24"/>
          <w:szCs w:val="24"/>
        </w:rPr>
        <w:t>N</w:t>
      </w:r>
      <w:r w:rsidR="000E2500" w:rsidRPr="00D3169B">
        <w:rPr>
          <w:rStyle w:val="Strong"/>
          <w:rFonts w:asciiTheme="majorHAnsi" w:hAnsiTheme="majorHAnsi"/>
          <w:sz w:val="24"/>
          <w:szCs w:val="24"/>
        </w:rPr>
        <w:t>egative gearing</w:t>
      </w:r>
      <w:bookmarkEnd w:id="32"/>
    </w:p>
    <w:p w:rsidR="000E2500" w:rsidRPr="00BB5D86" w:rsidRDefault="000E2500" w:rsidP="000E2500">
      <w:pPr>
        <w:autoSpaceDE w:val="0"/>
        <w:autoSpaceDN w:val="0"/>
        <w:adjustRightInd w:val="0"/>
        <w:jc w:val="both"/>
        <w:rPr>
          <w:rStyle w:val="Strong"/>
          <w:rFonts w:cstheme="minorHAnsi"/>
          <w:sz w:val="22"/>
        </w:rPr>
      </w:pPr>
    </w:p>
    <w:p w:rsidR="000E2500" w:rsidRPr="00BB5D86" w:rsidRDefault="000E2500" w:rsidP="000E2500">
      <w:pPr>
        <w:jc w:val="both"/>
        <w:rPr>
          <w:rStyle w:val="Strong"/>
          <w:rFonts w:cstheme="minorHAnsi"/>
          <w:sz w:val="22"/>
        </w:rPr>
      </w:pPr>
      <w:r w:rsidRPr="00BB5D86">
        <w:rPr>
          <w:rStyle w:val="Strong"/>
          <w:rFonts w:cstheme="minorHAnsi"/>
          <w:sz w:val="22"/>
        </w:rPr>
        <w:t>The community, government and business must address housing affordability issues and homelessness. This means finally tackling taxation issues such as negative gearing. Negative gearing, along with the exemption of the family home from the capital gains tax, and a lack of system for imputed rents, significantly distorts the housing market. This was recognised by the 2010 Henry Tax Review, though his report failed to make any concrete recommendation on this subject. The nation’s premier business paper recently editorialised on this subject, stating that “property tax review was “a matter of fairness”, and that “the break gives property investors an unfair advantage over people looking for a home to live in”.</w:t>
      </w:r>
      <w:r w:rsidRPr="00BB5D86">
        <w:rPr>
          <w:rStyle w:val="FootnoteReference"/>
          <w:rFonts w:asciiTheme="minorHAnsi" w:hAnsiTheme="minorHAnsi" w:cstheme="minorHAnsi"/>
          <w:bCs/>
          <w:sz w:val="22"/>
        </w:rPr>
        <w:footnoteReference w:id="37"/>
      </w:r>
      <w:r w:rsidRPr="00BB5D86">
        <w:rPr>
          <w:rStyle w:val="Strong"/>
          <w:rFonts w:cstheme="minorHAnsi"/>
          <w:sz w:val="22"/>
        </w:rPr>
        <w:t xml:space="preserve">  </w:t>
      </w:r>
    </w:p>
    <w:p w:rsidR="000E2500" w:rsidRPr="00BB5D86" w:rsidRDefault="000E2500" w:rsidP="000E2500">
      <w:pPr>
        <w:jc w:val="both"/>
        <w:rPr>
          <w:rStyle w:val="Strong"/>
          <w:rFonts w:cstheme="minorHAnsi"/>
          <w:sz w:val="22"/>
        </w:rPr>
      </w:pPr>
    </w:p>
    <w:p w:rsidR="000E2500" w:rsidRPr="00BB5D86" w:rsidRDefault="000E2500" w:rsidP="000E2500">
      <w:pPr>
        <w:jc w:val="both"/>
        <w:rPr>
          <w:rStyle w:val="Strong"/>
          <w:rFonts w:cstheme="minorHAnsi"/>
          <w:sz w:val="22"/>
        </w:rPr>
      </w:pPr>
      <w:r w:rsidRPr="00BB5D86">
        <w:rPr>
          <w:rStyle w:val="Strong"/>
          <w:rFonts w:cstheme="minorHAnsi"/>
          <w:sz w:val="22"/>
        </w:rPr>
        <w:t>Negative gearing can significantly reduce the amount of tax that is paid by many taxpayers. As just 50% of capital gains are taxed, negative gearing reduces, as well as defers tax liabilities. In 2011, 1.2 million taxpayers received income from negative gearing, claiming $13.3 billion in losses.</w:t>
      </w:r>
    </w:p>
    <w:p w:rsidR="000E2500" w:rsidRPr="00BB5D86" w:rsidRDefault="000E2500" w:rsidP="000E2500">
      <w:pPr>
        <w:jc w:val="both"/>
        <w:rPr>
          <w:rStyle w:val="Strong"/>
          <w:rFonts w:cstheme="minorHAnsi"/>
          <w:sz w:val="22"/>
        </w:rPr>
      </w:pPr>
    </w:p>
    <w:p w:rsidR="000E2500" w:rsidRDefault="000E2500" w:rsidP="000E2500">
      <w:pPr>
        <w:jc w:val="both"/>
        <w:rPr>
          <w:rStyle w:val="Strong"/>
          <w:rFonts w:cstheme="minorHAnsi"/>
          <w:sz w:val="22"/>
        </w:rPr>
      </w:pPr>
      <w:r w:rsidRPr="00BB5D86">
        <w:rPr>
          <w:rStyle w:val="Strong"/>
          <w:rFonts w:cstheme="minorHAnsi"/>
          <w:sz w:val="22"/>
        </w:rPr>
        <w:t xml:space="preserve">People on higher incomes receive the most benefit from negative gearing, but there are also a substantial number of low income households, including retirees, who also claim negative gearing losses. Relatively few investment properties are owned by to poorest 20% of people, so this change would have little impact on </w:t>
      </w:r>
      <w:r w:rsidR="00F93C12">
        <w:rPr>
          <w:rStyle w:val="Strong"/>
          <w:rFonts w:cstheme="minorHAnsi"/>
          <w:sz w:val="22"/>
        </w:rPr>
        <w:t xml:space="preserve">people living on the lowest incomes.  </w:t>
      </w:r>
      <w:r w:rsidRPr="00BB5D86">
        <w:rPr>
          <w:rStyle w:val="Strong"/>
          <w:rFonts w:cstheme="minorHAnsi"/>
          <w:sz w:val="22"/>
        </w:rPr>
        <w:t>A report by the Grattan Institute states that abolishing negative gearing would generate around $4 billion a year in the short-term falling to $2 billion per year, and that such a proposal would increase home ownership rates, pointing out that 95% of new investment lending is for existing houses. The proposal would not increase the costs of rental properties, and could encourage investors to invest in other assets, which could generate further tax receipts.</w:t>
      </w:r>
      <w:r w:rsidRPr="00BB5D86">
        <w:rPr>
          <w:rStyle w:val="FootnoteReference"/>
          <w:rFonts w:asciiTheme="minorHAnsi" w:hAnsiTheme="minorHAnsi" w:cstheme="minorHAnsi"/>
          <w:bCs/>
          <w:sz w:val="22"/>
        </w:rPr>
        <w:footnoteReference w:id="38"/>
      </w:r>
    </w:p>
    <w:p w:rsidR="009F0604" w:rsidRPr="00BB5D86" w:rsidRDefault="009F0604" w:rsidP="000E2500">
      <w:pPr>
        <w:jc w:val="both"/>
        <w:rPr>
          <w:rStyle w:val="Strong"/>
          <w:rFonts w:cstheme="minorHAnsi"/>
          <w:sz w:val="22"/>
        </w:rPr>
      </w:pPr>
    </w:p>
    <w:p w:rsidR="000E2500" w:rsidRPr="00BB5D86" w:rsidRDefault="000E2500" w:rsidP="000E2500">
      <w:pPr>
        <w:pBdr>
          <w:top w:val="single" w:sz="4" w:space="1" w:color="auto"/>
          <w:left w:val="single" w:sz="4" w:space="4" w:color="auto"/>
          <w:bottom w:val="single" w:sz="4" w:space="1" w:color="auto"/>
          <w:right w:val="single" w:sz="4" w:space="4" w:color="auto"/>
        </w:pBdr>
        <w:spacing w:after="200"/>
        <w:rPr>
          <w:rFonts w:asciiTheme="minorHAnsi" w:hAnsiTheme="minorHAnsi" w:cstheme="minorHAnsi"/>
          <w:b/>
          <w:sz w:val="22"/>
        </w:rPr>
      </w:pPr>
      <w:r w:rsidRPr="00BB5D86">
        <w:rPr>
          <w:rFonts w:asciiTheme="minorHAnsi" w:hAnsiTheme="minorHAnsi" w:cstheme="minorHAnsi"/>
          <w:b/>
          <w:sz w:val="22"/>
        </w:rPr>
        <w:t>Recommendation</w:t>
      </w:r>
      <w:r w:rsidR="000966B1">
        <w:rPr>
          <w:rFonts w:asciiTheme="minorHAnsi" w:hAnsiTheme="minorHAnsi" w:cstheme="minorHAnsi"/>
          <w:b/>
          <w:sz w:val="22"/>
        </w:rPr>
        <w:t xml:space="preserve"> #</w:t>
      </w:r>
      <w:r w:rsidR="00D3169B">
        <w:rPr>
          <w:rFonts w:asciiTheme="minorHAnsi" w:hAnsiTheme="minorHAnsi" w:cstheme="minorHAnsi"/>
          <w:b/>
          <w:sz w:val="22"/>
        </w:rPr>
        <w:t>27</w:t>
      </w:r>
      <w:r w:rsidRPr="00BB5D86">
        <w:rPr>
          <w:rFonts w:asciiTheme="minorHAnsi" w:hAnsiTheme="minorHAnsi" w:cstheme="minorHAnsi"/>
          <w:b/>
          <w:sz w:val="22"/>
        </w:rPr>
        <w:t xml:space="preserve">: </w:t>
      </w:r>
      <w:r w:rsidRPr="000966B1">
        <w:rPr>
          <w:rFonts w:asciiTheme="minorHAnsi" w:hAnsiTheme="minorHAnsi" w:cstheme="minorHAnsi"/>
          <w:sz w:val="22"/>
        </w:rPr>
        <w:t>That the Federal Government</w:t>
      </w:r>
      <w:r w:rsidR="00F93C12">
        <w:rPr>
          <w:rFonts w:asciiTheme="minorHAnsi" w:hAnsiTheme="minorHAnsi" w:cstheme="minorHAnsi"/>
          <w:sz w:val="22"/>
        </w:rPr>
        <w:t xml:space="preserve"> should review negative gearing with the aim of</w:t>
      </w:r>
      <w:r w:rsidRPr="000966B1">
        <w:rPr>
          <w:rFonts w:asciiTheme="minorHAnsi" w:hAnsiTheme="minorHAnsi" w:cstheme="minorHAnsi"/>
          <w:sz w:val="22"/>
        </w:rPr>
        <w:t xml:space="preserve"> abolish</w:t>
      </w:r>
      <w:r w:rsidR="00F93C12">
        <w:rPr>
          <w:rFonts w:asciiTheme="minorHAnsi" w:hAnsiTheme="minorHAnsi" w:cstheme="minorHAnsi"/>
          <w:sz w:val="22"/>
        </w:rPr>
        <w:t>ing or restricting it</w:t>
      </w:r>
      <w:r w:rsidRPr="000966B1">
        <w:rPr>
          <w:rFonts w:asciiTheme="minorHAnsi" w:hAnsiTheme="minorHAnsi" w:cstheme="minorHAnsi"/>
          <w:sz w:val="22"/>
        </w:rPr>
        <w:t xml:space="preserve">. Revenue: </w:t>
      </w:r>
      <w:r w:rsidR="00F93C12">
        <w:rPr>
          <w:rFonts w:asciiTheme="minorHAnsi" w:hAnsiTheme="minorHAnsi" w:cstheme="minorHAnsi"/>
          <w:sz w:val="22"/>
        </w:rPr>
        <w:t xml:space="preserve"> If the concession is abolished, </w:t>
      </w:r>
      <w:r w:rsidRPr="000966B1">
        <w:rPr>
          <w:rFonts w:asciiTheme="minorHAnsi" w:hAnsiTheme="minorHAnsi" w:cstheme="minorHAnsi"/>
          <w:sz w:val="22"/>
        </w:rPr>
        <w:t>$4 billion per year initially, falling to around $2 billion per year.</w:t>
      </w:r>
    </w:p>
    <w:p w:rsidR="000E2500" w:rsidRPr="00BB5D86" w:rsidRDefault="000E2500" w:rsidP="000E2500">
      <w:pPr>
        <w:rPr>
          <w:rFonts w:asciiTheme="minorHAnsi" w:hAnsiTheme="minorHAnsi" w:cstheme="minorHAnsi"/>
          <w:sz w:val="22"/>
        </w:rPr>
      </w:pPr>
    </w:p>
    <w:p w:rsidR="009B5B91" w:rsidRPr="0026007C" w:rsidRDefault="009B5B91" w:rsidP="008D6F44">
      <w:pPr>
        <w:pStyle w:val="Heading2"/>
      </w:pPr>
      <w:bookmarkStart w:id="33" w:name="_Toc379199709"/>
      <w:r w:rsidRPr="0026007C">
        <w:t>Superannuation</w:t>
      </w:r>
      <w:r w:rsidR="0026007C" w:rsidRPr="0026007C">
        <w:t xml:space="preserve"> savings</w:t>
      </w:r>
      <w:bookmarkEnd w:id="33"/>
    </w:p>
    <w:p w:rsidR="009B5B91" w:rsidRPr="00BB5D86" w:rsidRDefault="009B5B91" w:rsidP="009B5B91">
      <w:pPr>
        <w:rPr>
          <w:rFonts w:asciiTheme="minorHAnsi" w:hAnsiTheme="minorHAnsi" w:cstheme="minorHAnsi"/>
          <w:sz w:val="22"/>
        </w:rPr>
      </w:pPr>
    </w:p>
    <w:p w:rsidR="009B5B91" w:rsidRPr="00BB5D86" w:rsidRDefault="009B5B91" w:rsidP="009B5B91">
      <w:pPr>
        <w:rPr>
          <w:rFonts w:asciiTheme="minorHAnsi" w:hAnsiTheme="minorHAnsi" w:cstheme="minorHAnsi"/>
          <w:sz w:val="22"/>
        </w:rPr>
      </w:pPr>
      <w:r w:rsidRPr="00BB5D86">
        <w:rPr>
          <w:rFonts w:asciiTheme="minorHAnsi" w:hAnsiTheme="minorHAnsi" w:cstheme="minorHAnsi"/>
          <w:sz w:val="22"/>
        </w:rPr>
        <w:t xml:space="preserve">A number of recent reports have highlighted the pressures arising from the ageing of the Australian population, with a focus on the costs of superannuation and the benefits which are provided to older Australians not living on low incomes. </w:t>
      </w:r>
    </w:p>
    <w:p w:rsidR="009B5B91" w:rsidRPr="00BB5D86" w:rsidRDefault="009B5B91" w:rsidP="009B5B91">
      <w:pPr>
        <w:rPr>
          <w:rFonts w:asciiTheme="minorHAnsi" w:hAnsiTheme="minorHAnsi" w:cstheme="minorHAnsi"/>
          <w:sz w:val="22"/>
        </w:rPr>
      </w:pPr>
    </w:p>
    <w:p w:rsidR="009B5B91" w:rsidRPr="00BB5D86" w:rsidRDefault="009B5B91" w:rsidP="009B5B91">
      <w:pPr>
        <w:rPr>
          <w:rFonts w:asciiTheme="minorHAnsi" w:hAnsiTheme="minorHAnsi" w:cstheme="minorHAnsi"/>
          <w:sz w:val="22"/>
        </w:rPr>
      </w:pPr>
      <w:r w:rsidRPr="00BB5D86">
        <w:rPr>
          <w:rFonts w:asciiTheme="minorHAnsi" w:hAnsiTheme="minorHAnsi" w:cstheme="minorHAnsi"/>
          <w:sz w:val="22"/>
        </w:rPr>
        <w:t>As noted, the 2009 single pension increase had a significantly reduced the proportion of age pensioners who were living in poverty.  Older Australians who do not own their own homes and are in the private rental market are most likely to be experiencing poverty.  The recent ACOSS Poverty report found that over 13% of those over 63 live on less than 50% of the median income and over a third of people over 64 still live below the 60% poverty line. That equals 884,000 people aged over 64 living on less than 60% of the median poverty line.</w:t>
      </w:r>
      <w:r w:rsidRPr="00BB5D86">
        <w:rPr>
          <w:rFonts w:asciiTheme="minorHAnsi" w:hAnsiTheme="minorHAnsi" w:cstheme="minorHAnsi"/>
          <w:sz w:val="14"/>
          <w:szCs w:val="16"/>
        </w:rPr>
        <w:footnoteReference w:id="39"/>
      </w:r>
    </w:p>
    <w:p w:rsidR="009B5B91" w:rsidRPr="00BB5D86" w:rsidRDefault="009B5B91" w:rsidP="009B5B91">
      <w:pPr>
        <w:rPr>
          <w:rFonts w:asciiTheme="minorHAnsi" w:hAnsiTheme="minorHAnsi" w:cstheme="minorHAnsi"/>
          <w:sz w:val="22"/>
        </w:rPr>
      </w:pPr>
    </w:p>
    <w:p w:rsidR="009B5B91" w:rsidRPr="00BB5D86" w:rsidRDefault="009B5B91" w:rsidP="009B5B91">
      <w:pPr>
        <w:rPr>
          <w:rFonts w:asciiTheme="minorHAnsi" w:hAnsiTheme="minorHAnsi" w:cstheme="minorHAnsi"/>
          <w:sz w:val="22"/>
        </w:rPr>
      </w:pPr>
      <w:r w:rsidRPr="00BB5D86">
        <w:rPr>
          <w:rFonts w:asciiTheme="minorHAnsi" w:hAnsiTheme="minorHAnsi" w:cstheme="minorHAnsi"/>
          <w:sz w:val="22"/>
        </w:rPr>
        <w:t>Almost 60% of Age Pensioners were on the maximum rate of Age Pension at June 2011. Of the 1.3 million on the maximum rate, almost 700,000 were older women. The 2008 Harmer Pension Review reported that while only 13.3% report no private income, a further 28% have just small amounts of private income (up to $20 pw).</w:t>
      </w:r>
      <w:r w:rsidRPr="00BB5D86">
        <w:rPr>
          <w:rFonts w:asciiTheme="minorHAnsi" w:hAnsiTheme="minorHAnsi" w:cstheme="minorHAnsi"/>
          <w:sz w:val="14"/>
          <w:szCs w:val="16"/>
        </w:rPr>
        <w:footnoteReference w:id="40"/>
      </w:r>
      <w:r w:rsidRPr="00BB5D86">
        <w:rPr>
          <w:rFonts w:asciiTheme="minorHAnsi" w:hAnsiTheme="minorHAnsi" w:cstheme="minorHAnsi"/>
          <w:sz w:val="22"/>
        </w:rPr>
        <w:t xml:space="preserve">   Forty percent of age pensioners had just $20 in addition to their Age Pension which for a single person is paid at the maximum rate of $375 per week. </w:t>
      </w:r>
    </w:p>
    <w:p w:rsidR="009B5B91" w:rsidRPr="00BB5D86" w:rsidRDefault="009B5B91" w:rsidP="009B5B91">
      <w:pPr>
        <w:rPr>
          <w:rFonts w:asciiTheme="minorHAnsi" w:hAnsiTheme="minorHAnsi" w:cstheme="minorHAnsi"/>
          <w:sz w:val="22"/>
        </w:rPr>
      </w:pPr>
    </w:p>
    <w:p w:rsidR="009B5B91" w:rsidRPr="00BB5D86" w:rsidRDefault="009B5B91" w:rsidP="009B5B91">
      <w:pPr>
        <w:rPr>
          <w:rFonts w:asciiTheme="minorHAnsi" w:hAnsiTheme="minorHAnsi" w:cstheme="minorHAnsi"/>
          <w:sz w:val="22"/>
        </w:rPr>
      </w:pPr>
      <w:r w:rsidRPr="00BB5D86">
        <w:rPr>
          <w:rFonts w:asciiTheme="minorHAnsi" w:hAnsiTheme="minorHAnsi" w:cstheme="minorHAnsi"/>
          <w:sz w:val="22"/>
        </w:rPr>
        <w:t xml:space="preserve">The  NWRN notes, however, the </w:t>
      </w:r>
      <w:r w:rsidR="005F4022">
        <w:rPr>
          <w:rFonts w:asciiTheme="minorHAnsi" w:hAnsiTheme="minorHAnsi" w:cstheme="minorHAnsi"/>
          <w:sz w:val="22"/>
        </w:rPr>
        <w:t xml:space="preserve">generous </w:t>
      </w:r>
      <w:r w:rsidRPr="00BB5D86">
        <w:rPr>
          <w:rFonts w:asciiTheme="minorHAnsi" w:hAnsiTheme="minorHAnsi" w:cstheme="minorHAnsi"/>
          <w:sz w:val="22"/>
        </w:rPr>
        <w:t>assets test limit for age pensioners, and</w:t>
      </w:r>
      <w:r w:rsidR="005F4022">
        <w:rPr>
          <w:rFonts w:asciiTheme="minorHAnsi" w:hAnsiTheme="minorHAnsi" w:cstheme="minorHAnsi"/>
          <w:sz w:val="22"/>
        </w:rPr>
        <w:t xml:space="preserve"> the</w:t>
      </w:r>
      <w:r w:rsidRPr="00BB5D86">
        <w:rPr>
          <w:rFonts w:asciiTheme="minorHAnsi" w:hAnsiTheme="minorHAnsi" w:cstheme="minorHAnsi"/>
          <w:sz w:val="22"/>
        </w:rPr>
        <w:t xml:space="preserve"> increased wealth held by some, though not all, ‘baby boomers’. Currently Age Pension couples can own their own home of any value and receive part a pension with $1,253,000 in financial assets on a combined income of $72,000 a year.</w:t>
      </w:r>
      <w:r w:rsidRPr="00BB5D86">
        <w:rPr>
          <w:rFonts w:asciiTheme="minorHAnsi" w:hAnsiTheme="minorHAnsi" w:cstheme="minorHAnsi"/>
          <w:sz w:val="14"/>
          <w:szCs w:val="16"/>
        </w:rPr>
        <w:footnoteReference w:id="41"/>
      </w:r>
      <w:r w:rsidRPr="00BB5D86">
        <w:rPr>
          <w:rFonts w:asciiTheme="minorHAnsi" w:hAnsiTheme="minorHAnsi" w:cstheme="minorHAnsi"/>
          <w:sz w:val="22"/>
        </w:rPr>
        <w:t xml:space="preserve">  </w:t>
      </w:r>
    </w:p>
    <w:p w:rsidR="009B5B91" w:rsidRPr="00BB5D86" w:rsidRDefault="009B5B91" w:rsidP="009B5B91">
      <w:pPr>
        <w:rPr>
          <w:rFonts w:asciiTheme="minorHAnsi" w:hAnsiTheme="minorHAnsi" w:cstheme="minorHAnsi"/>
          <w:sz w:val="22"/>
        </w:rPr>
      </w:pPr>
    </w:p>
    <w:p w:rsidR="009B5B91" w:rsidRPr="00BB5D86" w:rsidRDefault="009B5B91" w:rsidP="009B5B91">
      <w:pPr>
        <w:rPr>
          <w:rFonts w:asciiTheme="minorHAnsi" w:hAnsiTheme="minorHAnsi" w:cstheme="minorHAnsi"/>
          <w:sz w:val="22"/>
        </w:rPr>
      </w:pPr>
      <w:r w:rsidRPr="00BB5D86">
        <w:rPr>
          <w:rFonts w:asciiTheme="minorHAnsi" w:hAnsiTheme="minorHAnsi" w:cstheme="minorHAnsi"/>
          <w:sz w:val="22"/>
        </w:rPr>
        <w:t xml:space="preserve">Below we highlight some of the existing support for older people that warrant further investigation. </w:t>
      </w:r>
    </w:p>
    <w:p w:rsidR="009B5B91" w:rsidRPr="00BB5D86" w:rsidRDefault="009B5B91" w:rsidP="009B5B91">
      <w:pPr>
        <w:rPr>
          <w:rFonts w:asciiTheme="minorHAnsi" w:hAnsiTheme="minorHAnsi" w:cstheme="minorHAnsi"/>
          <w:sz w:val="22"/>
        </w:rPr>
      </w:pPr>
    </w:p>
    <w:p w:rsidR="009B5B91" w:rsidRPr="00BB5D86" w:rsidRDefault="009B5B91" w:rsidP="009B5B91">
      <w:pPr>
        <w:rPr>
          <w:rFonts w:asciiTheme="minorHAnsi" w:hAnsiTheme="minorHAnsi" w:cstheme="minorHAnsi"/>
          <w:sz w:val="22"/>
        </w:rPr>
      </w:pPr>
      <w:r w:rsidRPr="00BB5D86">
        <w:rPr>
          <w:rFonts w:asciiTheme="minorHAnsi" w:hAnsiTheme="minorHAnsi" w:cstheme="minorHAnsi"/>
          <w:sz w:val="22"/>
        </w:rPr>
        <w:t>The NWRN supports a review of taxation and superannuation arrangements, with a focus on fairness, equity, sustainability and intergenerational fairness, where assistance is provided on the basis of need and not age alone.</w:t>
      </w:r>
    </w:p>
    <w:p w:rsidR="009B5B91" w:rsidRPr="00BB5D86" w:rsidRDefault="009B5B91" w:rsidP="009B5B91">
      <w:pPr>
        <w:rPr>
          <w:rFonts w:asciiTheme="minorHAnsi" w:hAnsiTheme="minorHAnsi" w:cstheme="minorHAnsi"/>
          <w:sz w:val="22"/>
        </w:rPr>
      </w:pPr>
    </w:p>
    <w:p w:rsidR="00275D98" w:rsidRDefault="00275D98" w:rsidP="009B5B91">
      <w:pPr>
        <w:rPr>
          <w:rFonts w:asciiTheme="minorHAnsi" w:hAnsiTheme="minorHAnsi" w:cstheme="minorHAnsi"/>
          <w:sz w:val="22"/>
        </w:rPr>
      </w:pPr>
    </w:p>
    <w:p w:rsidR="00275D98" w:rsidRDefault="00275D98" w:rsidP="009B5B91">
      <w:pPr>
        <w:rPr>
          <w:rFonts w:asciiTheme="minorHAnsi" w:hAnsiTheme="minorHAnsi" w:cstheme="minorHAnsi"/>
          <w:sz w:val="22"/>
        </w:rPr>
      </w:pPr>
    </w:p>
    <w:p w:rsidR="009B5B91" w:rsidRDefault="009B5B91" w:rsidP="009B5B91">
      <w:pPr>
        <w:rPr>
          <w:rFonts w:asciiTheme="minorHAnsi" w:hAnsiTheme="minorHAnsi" w:cstheme="minorHAnsi"/>
          <w:sz w:val="22"/>
        </w:rPr>
      </w:pPr>
      <w:r w:rsidRPr="00BB5D86">
        <w:rPr>
          <w:rFonts w:asciiTheme="minorHAnsi" w:hAnsiTheme="minorHAnsi" w:cstheme="minorHAnsi"/>
          <w:sz w:val="22"/>
        </w:rPr>
        <w:t>The Government needs to consider for</w:t>
      </w:r>
      <w:r w:rsidR="00275D98">
        <w:rPr>
          <w:rFonts w:asciiTheme="minorHAnsi" w:hAnsiTheme="minorHAnsi" w:cstheme="minorHAnsi"/>
          <w:sz w:val="22"/>
        </w:rPr>
        <w:t xml:space="preserve"> efficiency and equity reasons:</w:t>
      </w:r>
    </w:p>
    <w:p w:rsidR="00275D98" w:rsidRPr="00BB5D86" w:rsidRDefault="00275D98" w:rsidP="009B5B91">
      <w:pPr>
        <w:rPr>
          <w:rFonts w:asciiTheme="minorHAnsi" w:hAnsiTheme="minorHAnsi" w:cstheme="minorHAnsi"/>
          <w:sz w:val="22"/>
        </w:rPr>
      </w:pPr>
    </w:p>
    <w:p w:rsidR="009B5B91" w:rsidRPr="00BB5D86" w:rsidRDefault="009B5B91" w:rsidP="009B5B91">
      <w:pPr>
        <w:pStyle w:val="ListParagraph"/>
        <w:numPr>
          <w:ilvl w:val="0"/>
          <w:numId w:val="21"/>
        </w:numPr>
        <w:rPr>
          <w:rFonts w:asciiTheme="minorHAnsi" w:hAnsiTheme="minorHAnsi" w:cstheme="minorHAnsi"/>
          <w:sz w:val="22"/>
        </w:rPr>
      </w:pPr>
      <w:r w:rsidRPr="00BB5D86">
        <w:rPr>
          <w:rFonts w:asciiTheme="minorHAnsi" w:hAnsiTheme="minorHAnsi" w:cstheme="minorHAnsi"/>
          <w:sz w:val="22"/>
        </w:rPr>
        <w:t>that the provision of tax-free super granted in 2006, is resulting in forgone revenue of $3 billion per annum;</w:t>
      </w:r>
    </w:p>
    <w:p w:rsidR="009B5B91" w:rsidRPr="00BB5D86" w:rsidRDefault="009B5B91" w:rsidP="009B5B91">
      <w:pPr>
        <w:pStyle w:val="ListParagraph"/>
        <w:numPr>
          <w:ilvl w:val="0"/>
          <w:numId w:val="21"/>
        </w:numPr>
        <w:rPr>
          <w:rFonts w:asciiTheme="minorHAnsi" w:hAnsiTheme="minorHAnsi" w:cstheme="minorHAnsi"/>
          <w:sz w:val="22"/>
        </w:rPr>
      </w:pPr>
      <w:r w:rsidRPr="00BB5D86">
        <w:rPr>
          <w:rFonts w:asciiTheme="minorHAnsi" w:hAnsiTheme="minorHAnsi" w:cstheme="minorHAnsi"/>
          <w:sz w:val="22"/>
        </w:rPr>
        <w:t>that taxing all super earnings would significantly affect only the wealthiest 30% of retirees in their 60s, and</w:t>
      </w:r>
    </w:p>
    <w:p w:rsidR="009B5B91" w:rsidRPr="00BB5D86" w:rsidRDefault="009B5B91" w:rsidP="009B5B91">
      <w:pPr>
        <w:pStyle w:val="ListParagraph"/>
        <w:numPr>
          <w:ilvl w:val="0"/>
          <w:numId w:val="21"/>
        </w:numPr>
        <w:rPr>
          <w:rFonts w:asciiTheme="minorHAnsi" w:hAnsiTheme="minorHAnsi" w:cstheme="minorHAnsi"/>
          <w:sz w:val="22"/>
        </w:rPr>
      </w:pPr>
      <w:r w:rsidRPr="00BB5D86">
        <w:rPr>
          <w:rFonts w:asciiTheme="minorHAnsi" w:hAnsiTheme="minorHAnsi" w:cstheme="minorHAnsi"/>
          <w:sz w:val="22"/>
        </w:rPr>
        <w:t>the existing tax arrangements mean workers over 60 can pay significantly less than workers under age 60.</w:t>
      </w:r>
    </w:p>
    <w:p w:rsidR="009B5B91" w:rsidRPr="00BB5D86" w:rsidRDefault="009B5B91" w:rsidP="009B5B91">
      <w:pPr>
        <w:rPr>
          <w:rFonts w:asciiTheme="minorHAnsi" w:hAnsiTheme="minorHAnsi" w:cstheme="minorHAnsi"/>
          <w:sz w:val="22"/>
        </w:rPr>
      </w:pPr>
    </w:p>
    <w:p w:rsidR="009B5B91" w:rsidRPr="00BB5D86" w:rsidRDefault="009B5B91" w:rsidP="009B5B91">
      <w:pPr>
        <w:rPr>
          <w:rFonts w:asciiTheme="minorHAnsi" w:hAnsiTheme="minorHAnsi" w:cstheme="minorHAnsi"/>
          <w:sz w:val="22"/>
        </w:rPr>
      </w:pPr>
      <w:r w:rsidRPr="00BB5D86">
        <w:rPr>
          <w:rFonts w:asciiTheme="minorHAnsi" w:hAnsiTheme="minorHAnsi" w:cstheme="minorHAnsi"/>
          <w:sz w:val="22"/>
        </w:rPr>
        <w:t>Looking at the cost of the Age Pension compared to the costs of tax concession for superannuation:</w:t>
      </w:r>
    </w:p>
    <w:p w:rsidR="009B5B91" w:rsidRPr="00BB5D86" w:rsidRDefault="009B5B91" w:rsidP="009B5B91">
      <w:pPr>
        <w:rPr>
          <w:rFonts w:asciiTheme="minorHAnsi" w:hAnsiTheme="minorHAnsi" w:cstheme="minorHAnsi"/>
          <w:sz w:val="22"/>
        </w:rPr>
      </w:pPr>
    </w:p>
    <w:p w:rsidR="009B5B91" w:rsidRPr="00BB5D86" w:rsidRDefault="009B5B91" w:rsidP="009B5B91">
      <w:pPr>
        <w:pStyle w:val="ListParagraph"/>
        <w:numPr>
          <w:ilvl w:val="0"/>
          <w:numId w:val="20"/>
        </w:numPr>
        <w:rPr>
          <w:rFonts w:asciiTheme="minorHAnsi" w:hAnsiTheme="minorHAnsi" w:cstheme="minorHAnsi"/>
          <w:sz w:val="22"/>
        </w:rPr>
      </w:pPr>
      <w:r w:rsidRPr="00BB5D86">
        <w:rPr>
          <w:rFonts w:asciiTheme="minorHAnsi" w:hAnsiTheme="minorHAnsi" w:cstheme="minorHAnsi"/>
          <w:sz w:val="22"/>
        </w:rPr>
        <w:t>in 2011-12, tax concessions contributed $30.2 billion to the superannuation accounts of Australians, increasing  to $45 billion by 2015-16, making this by far the largest single area of government expenditure by way of concession;</w:t>
      </w:r>
    </w:p>
    <w:p w:rsidR="009B5B91" w:rsidRPr="00BB5D86" w:rsidRDefault="009B5B91" w:rsidP="009B5B91">
      <w:pPr>
        <w:pStyle w:val="ListParagraph"/>
        <w:numPr>
          <w:ilvl w:val="0"/>
          <w:numId w:val="20"/>
        </w:numPr>
        <w:rPr>
          <w:rFonts w:asciiTheme="minorHAnsi" w:hAnsiTheme="minorHAnsi" w:cstheme="minorHAnsi"/>
          <w:sz w:val="22"/>
        </w:rPr>
      </w:pPr>
      <w:r w:rsidRPr="00BB5D86">
        <w:rPr>
          <w:rFonts w:asciiTheme="minorHAnsi" w:hAnsiTheme="minorHAnsi" w:cstheme="minorHAnsi"/>
          <w:sz w:val="22"/>
        </w:rPr>
        <w:t xml:space="preserve">taxpayer subsidies for superannuation are likely to grow significantly faster than the annual cost of providing the Age Pension. By 2015-16 the annual cost of taxpayer contributions to superannuation will exceed the annual cost of the age pension; </w:t>
      </w:r>
    </w:p>
    <w:p w:rsidR="009B5B91" w:rsidRPr="00BB5D86" w:rsidRDefault="009B5B91" w:rsidP="009B5B91">
      <w:pPr>
        <w:pStyle w:val="ListParagraph"/>
        <w:numPr>
          <w:ilvl w:val="0"/>
          <w:numId w:val="20"/>
        </w:numPr>
        <w:rPr>
          <w:rFonts w:asciiTheme="minorHAnsi" w:hAnsiTheme="minorHAnsi" w:cstheme="minorHAnsi"/>
          <w:sz w:val="22"/>
        </w:rPr>
      </w:pPr>
      <w:r w:rsidRPr="00BB5D86">
        <w:rPr>
          <w:rFonts w:asciiTheme="minorHAnsi" w:hAnsiTheme="minorHAnsi" w:cstheme="minorHAnsi"/>
          <w:sz w:val="22"/>
        </w:rPr>
        <w:t>a key flaw in our superannuation system is that contributions are taxed at a flat rate of 15%;</w:t>
      </w:r>
    </w:p>
    <w:p w:rsidR="009B5B91" w:rsidRPr="00BB5D86" w:rsidRDefault="009B5B91" w:rsidP="009B5B91">
      <w:pPr>
        <w:pStyle w:val="ListParagraph"/>
        <w:numPr>
          <w:ilvl w:val="0"/>
          <w:numId w:val="20"/>
        </w:numPr>
        <w:rPr>
          <w:rFonts w:asciiTheme="minorHAnsi" w:hAnsiTheme="minorHAnsi" w:cstheme="minorHAnsi"/>
          <w:sz w:val="22"/>
        </w:rPr>
      </w:pPr>
      <w:r w:rsidRPr="00BB5D86">
        <w:rPr>
          <w:rFonts w:asciiTheme="minorHAnsi" w:hAnsiTheme="minorHAnsi" w:cstheme="minorHAnsi"/>
          <w:sz w:val="22"/>
        </w:rPr>
        <w:t>the top 5% of income earners receive 37% of all superannuation taxation concessions: and; and</w:t>
      </w:r>
    </w:p>
    <w:p w:rsidR="009B5B91" w:rsidRPr="00BB5D86" w:rsidRDefault="009B5B91" w:rsidP="009B5B91">
      <w:pPr>
        <w:pStyle w:val="ListParagraph"/>
        <w:numPr>
          <w:ilvl w:val="0"/>
          <w:numId w:val="20"/>
        </w:numPr>
        <w:rPr>
          <w:rFonts w:asciiTheme="minorHAnsi" w:hAnsiTheme="minorHAnsi" w:cstheme="minorHAnsi"/>
          <w:sz w:val="22"/>
        </w:rPr>
      </w:pPr>
      <w:r w:rsidRPr="00BB5D86">
        <w:rPr>
          <w:rFonts w:asciiTheme="minorHAnsi" w:hAnsiTheme="minorHAnsi" w:cstheme="minorHAnsi"/>
          <w:sz w:val="22"/>
        </w:rPr>
        <w:t>a significant proportion of these concessions for superannuation are going to future retirees who will almost certainly be ineligible for the age pension.</w:t>
      </w:r>
    </w:p>
    <w:p w:rsidR="009B5B91" w:rsidRPr="00BB5D86" w:rsidRDefault="009B5B91" w:rsidP="009B5B91">
      <w:pPr>
        <w:rPr>
          <w:rFonts w:asciiTheme="minorHAnsi" w:hAnsiTheme="minorHAnsi" w:cstheme="minorHAnsi"/>
          <w:sz w:val="22"/>
        </w:rPr>
      </w:pPr>
    </w:p>
    <w:p w:rsidR="009B5B91" w:rsidRPr="00F14CC0" w:rsidRDefault="009B5B91" w:rsidP="003075EF">
      <w:pPr>
        <w:pBdr>
          <w:top w:val="single" w:sz="4" w:space="1" w:color="auto"/>
          <w:left w:val="single" w:sz="4" w:space="4" w:color="auto"/>
          <w:bottom w:val="single" w:sz="4" w:space="1" w:color="auto"/>
          <w:right w:val="single" w:sz="4" w:space="4" w:color="auto"/>
        </w:pBdr>
        <w:rPr>
          <w:rFonts w:asciiTheme="minorHAnsi" w:hAnsiTheme="minorHAnsi" w:cstheme="minorHAnsi"/>
          <w:color w:val="FF0000"/>
          <w:sz w:val="22"/>
        </w:rPr>
      </w:pPr>
      <w:r w:rsidRPr="00D3169B">
        <w:rPr>
          <w:rFonts w:asciiTheme="minorHAnsi" w:hAnsiTheme="minorHAnsi" w:cstheme="minorHAnsi"/>
          <w:b/>
          <w:color w:val="auto"/>
          <w:sz w:val="22"/>
        </w:rPr>
        <w:t>Recommendation</w:t>
      </w:r>
      <w:r w:rsidR="00F14CC0" w:rsidRPr="00D3169B">
        <w:rPr>
          <w:rFonts w:asciiTheme="minorHAnsi" w:hAnsiTheme="minorHAnsi" w:cstheme="minorHAnsi"/>
          <w:b/>
          <w:color w:val="auto"/>
          <w:sz w:val="22"/>
        </w:rPr>
        <w:t xml:space="preserve"> #</w:t>
      </w:r>
      <w:r w:rsidR="00D3169B" w:rsidRPr="00D3169B">
        <w:rPr>
          <w:rFonts w:asciiTheme="minorHAnsi" w:hAnsiTheme="minorHAnsi" w:cstheme="minorHAnsi"/>
          <w:b/>
          <w:color w:val="auto"/>
          <w:sz w:val="22"/>
        </w:rPr>
        <w:t>28</w:t>
      </w:r>
      <w:r w:rsidR="00F14CC0" w:rsidRPr="00D3169B">
        <w:rPr>
          <w:rFonts w:asciiTheme="minorHAnsi" w:hAnsiTheme="minorHAnsi" w:cstheme="minorHAnsi"/>
          <w:b/>
          <w:color w:val="auto"/>
          <w:sz w:val="22"/>
        </w:rPr>
        <w:t>:</w:t>
      </w:r>
      <w:r w:rsidRPr="00D3169B">
        <w:rPr>
          <w:rFonts w:asciiTheme="minorHAnsi" w:hAnsiTheme="minorHAnsi" w:cstheme="minorHAnsi"/>
          <w:b/>
          <w:color w:val="auto"/>
          <w:sz w:val="22"/>
        </w:rPr>
        <w:t xml:space="preserve"> </w:t>
      </w:r>
      <w:r w:rsidR="005F4022" w:rsidRPr="00D3169B">
        <w:rPr>
          <w:rFonts w:asciiTheme="minorHAnsi" w:hAnsiTheme="minorHAnsi" w:cstheme="minorHAnsi"/>
          <w:b/>
          <w:color w:val="auto"/>
          <w:sz w:val="22"/>
        </w:rPr>
        <w:t xml:space="preserve"> </w:t>
      </w:r>
      <w:r w:rsidRPr="00D3169B">
        <w:rPr>
          <w:rFonts w:asciiTheme="minorHAnsi" w:hAnsiTheme="minorHAnsi" w:cstheme="minorHAnsi"/>
          <w:color w:val="auto"/>
          <w:sz w:val="22"/>
        </w:rPr>
        <w:t xml:space="preserve">That </w:t>
      </w:r>
      <w:r w:rsidRPr="00FE420F">
        <w:rPr>
          <w:rFonts w:asciiTheme="minorHAnsi" w:hAnsiTheme="minorHAnsi" w:cstheme="minorHAnsi"/>
          <w:color w:val="auto"/>
          <w:sz w:val="22"/>
        </w:rPr>
        <w:t>the Federal</w:t>
      </w:r>
      <w:r w:rsidR="00F14CC0" w:rsidRPr="00FE420F">
        <w:rPr>
          <w:rFonts w:asciiTheme="minorHAnsi" w:hAnsiTheme="minorHAnsi" w:cstheme="minorHAnsi"/>
          <w:color w:val="auto"/>
          <w:sz w:val="22"/>
        </w:rPr>
        <w:t xml:space="preserve"> Government</w:t>
      </w:r>
      <w:r w:rsidRPr="00FE420F">
        <w:rPr>
          <w:rFonts w:asciiTheme="minorHAnsi" w:hAnsiTheme="minorHAnsi" w:cstheme="minorHAnsi"/>
          <w:color w:val="auto"/>
          <w:sz w:val="22"/>
        </w:rPr>
        <w:t xml:space="preserve"> </w:t>
      </w:r>
      <w:r w:rsidR="00F14CC0" w:rsidRPr="00FE420F">
        <w:rPr>
          <w:rFonts w:asciiTheme="minorHAnsi" w:hAnsiTheme="minorHAnsi" w:cstheme="minorHAnsi"/>
          <w:color w:val="auto"/>
          <w:sz w:val="22"/>
        </w:rPr>
        <w:t>review current tax concessions for superannuation savings, to make them fairer and more sustainable. The Review should consider measures to better assist women and carers in retirement.</w:t>
      </w:r>
    </w:p>
    <w:p w:rsidR="000E2500" w:rsidRPr="00BB5D86" w:rsidRDefault="000E2500" w:rsidP="000E2500">
      <w:pPr>
        <w:rPr>
          <w:rFonts w:asciiTheme="minorHAnsi" w:hAnsiTheme="minorHAnsi" w:cstheme="minorHAnsi"/>
          <w:sz w:val="22"/>
        </w:rPr>
      </w:pPr>
    </w:p>
    <w:sectPr w:rsidR="000E2500" w:rsidRPr="00BB5D86" w:rsidSect="00CD12B9">
      <w:footerReference w:type="even" r:id="rId12"/>
      <w:footerReference w:type="default" r:id="rId13"/>
      <w:type w:val="continuous"/>
      <w:pgSz w:w="11900" w:h="16840"/>
      <w:pgMar w:top="1440" w:right="1127" w:bottom="1440" w:left="1440" w:header="708" w:footer="708"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74D" w:rsidRDefault="00C3374D">
      <w:r>
        <w:separator/>
      </w:r>
    </w:p>
  </w:endnote>
  <w:endnote w:type="continuationSeparator" w:id="0">
    <w:p w:rsidR="00C3374D" w:rsidRDefault="00C3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4D" w:rsidRDefault="00C3374D">
    <w:pPr>
      <w:pStyle w:val="Footer1"/>
      <w:tabs>
        <w:tab w:val="clear" w:pos="9026"/>
        <w:tab w:val="right" w:pos="9000"/>
      </w:tabs>
      <w:jc w:val="center"/>
    </w:pPr>
    <w:r>
      <w:fldChar w:fldCharType="begin"/>
    </w:r>
    <w:r>
      <w:instrText xml:space="preserve"> PAGE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4D" w:rsidRDefault="00C3374D">
    <w:pPr>
      <w:pStyle w:val="Footer"/>
      <w:jc w:val="center"/>
    </w:pPr>
    <w:r>
      <w:fldChar w:fldCharType="begin"/>
    </w:r>
    <w:r>
      <w:instrText xml:space="preserve"> PAGE   \* MERGEFORMAT </w:instrText>
    </w:r>
    <w:r>
      <w:fldChar w:fldCharType="separate"/>
    </w:r>
    <w:r w:rsidR="00073A16">
      <w:rPr>
        <w:noProof/>
      </w:rPr>
      <w:t>8</w:t>
    </w:r>
    <w:r>
      <w:rPr>
        <w:noProof/>
      </w:rPr>
      <w:fldChar w:fldCharType="end"/>
    </w:r>
  </w:p>
  <w:p w:rsidR="00C3374D" w:rsidRDefault="00C3374D">
    <w:pPr>
      <w:pStyle w:val="Footer1"/>
      <w:tabs>
        <w:tab w:val="clear" w:pos="9026"/>
        <w:tab w:val="right" w:pos="900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74D" w:rsidRDefault="00C3374D">
      <w:r>
        <w:separator/>
      </w:r>
    </w:p>
  </w:footnote>
  <w:footnote w:type="continuationSeparator" w:id="0">
    <w:p w:rsidR="00C3374D" w:rsidRDefault="00C3374D">
      <w:r>
        <w:continuationSeparator/>
      </w:r>
    </w:p>
  </w:footnote>
  <w:footnote w:id="1">
    <w:p w:rsidR="00C3374D" w:rsidRPr="009F0604" w:rsidRDefault="00C3374D">
      <w:pPr>
        <w:pStyle w:val="FootnoteText"/>
        <w:rPr>
          <w:rFonts w:cstheme="minorHAnsi"/>
          <w:sz w:val="16"/>
          <w:szCs w:val="16"/>
          <w:lang w:val="en-US"/>
        </w:rPr>
      </w:pPr>
      <w:r w:rsidRPr="009F0604">
        <w:rPr>
          <w:rStyle w:val="FootnoteReference"/>
          <w:rFonts w:cstheme="minorHAnsi"/>
          <w:sz w:val="16"/>
          <w:szCs w:val="16"/>
        </w:rPr>
        <w:footnoteRef/>
      </w:r>
      <w:r w:rsidRPr="009F0604">
        <w:rPr>
          <w:rFonts w:cstheme="minorHAnsi"/>
          <w:sz w:val="16"/>
          <w:szCs w:val="16"/>
        </w:rPr>
        <w:t xml:space="preserve"> </w:t>
      </w:r>
      <w:proofErr w:type="spellStart"/>
      <w:r w:rsidRPr="009F0604">
        <w:rPr>
          <w:rFonts w:cstheme="minorHAnsi"/>
          <w:sz w:val="16"/>
          <w:szCs w:val="16"/>
        </w:rPr>
        <w:t>Gobbett</w:t>
      </w:r>
      <w:proofErr w:type="spellEnd"/>
      <w:r w:rsidRPr="009F0604">
        <w:rPr>
          <w:rFonts w:cstheme="minorHAnsi"/>
          <w:sz w:val="16"/>
          <w:szCs w:val="16"/>
        </w:rPr>
        <w:t xml:space="preserve">, H, </w:t>
      </w:r>
      <w:r w:rsidRPr="009F0604">
        <w:rPr>
          <w:rFonts w:cstheme="minorHAnsi"/>
          <w:i/>
          <w:sz w:val="16"/>
          <w:szCs w:val="16"/>
          <w:lang w:val="en-US"/>
        </w:rPr>
        <w:t>Australia tops the charts…..in tax deductions</w:t>
      </w:r>
      <w:r w:rsidRPr="009F0604">
        <w:rPr>
          <w:rFonts w:cstheme="minorHAnsi"/>
          <w:sz w:val="16"/>
          <w:szCs w:val="16"/>
          <w:lang w:val="en-US"/>
        </w:rPr>
        <w:t xml:space="preserve">, </w:t>
      </w:r>
      <w:proofErr w:type="spellStart"/>
      <w:r w:rsidRPr="009F0604">
        <w:rPr>
          <w:rFonts w:cstheme="minorHAnsi"/>
          <w:sz w:val="16"/>
          <w:szCs w:val="16"/>
          <w:lang w:val="en-US"/>
        </w:rPr>
        <w:t>Flagpost</w:t>
      </w:r>
      <w:proofErr w:type="spellEnd"/>
      <w:r w:rsidRPr="009F0604">
        <w:rPr>
          <w:rFonts w:cstheme="minorHAnsi"/>
          <w:sz w:val="16"/>
          <w:szCs w:val="16"/>
          <w:lang w:val="en-US"/>
        </w:rPr>
        <w:t>, Commonwealth Parliamentary Library, 29 January 2014.</w:t>
      </w:r>
    </w:p>
  </w:footnote>
  <w:footnote w:id="2">
    <w:p w:rsidR="00C3374D" w:rsidRPr="009F0604" w:rsidRDefault="00C3374D" w:rsidP="00137B51">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Australian Council of Social Services, </w:t>
      </w:r>
      <w:r w:rsidRPr="009F0604">
        <w:rPr>
          <w:rFonts w:cstheme="minorHAnsi"/>
          <w:i/>
          <w:sz w:val="16"/>
          <w:szCs w:val="16"/>
        </w:rPr>
        <w:t>Submission to the Commission of Audit, Balancing the Budget</w:t>
      </w:r>
      <w:r w:rsidRPr="009F0604">
        <w:rPr>
          <w:rFonts w:cstheme="minorHAnsi"/>
          <w:sz w:val="16"/>
          <w:szCs w:val="16"/>
        </w:rPr>
        <w:t>, November 2013.</w:t>
      </w:r>
    </w:p>
  </w:footnote>
  <w:footnote w:id="3">
    <w:p w:rsidR="00C3374D" w:rsidRPr="009F0604" w:rsidRDefault="00C3374D" w:rsidP="00A27C2C">
      <w:pPr>
        <w:jc w:val="both"/>
        <w:rPr>
          <w:rFonts w:asciiTheme="minorHAnsi" w:hAnsiTheme="minorHAnsi" w:cstheme="minorHAnsi"/>
          <w:sz w:val="16"/>
          <w:szCs w:val="16"/>
        </w:rPr>
      </w:pPr>
      <w:r w:rsidRPr="009F0604">
        <w:rPr>
          <w:rStyle w:val="FootnoteReference"/>
          <w:rFonts w:asciiTheme="minorHAnsi" w:hAnsiTheme="minorHAnsi" w:cstheme="minorHAnsi"/>
          <w:sz w:val="16"/>
          <w:szCs w:val="16"/>
        </w:rPr>
        <w:footnoteRef/>
      </w:r>
      <w:r w:rsidRPr="009F0604">
        <w:rPr>
          <w:rFonts w:asciiTheme="minorHAnsi" w:hAnsiTheme="minorHAnsi" w:cstheme="minorHAnsi"/>
          <w:sz w:val="16"/>
          <w:szCs w:val="16"/>
        </w:rPr>
        <w:t xml:space="preserve"> Grattan Institute, </w:t>
      </w:r>
      <w:r w:rsidRPr="009F0604">
        <w:rPr>
          <w:rFonts w:asciiTheme="minorHAnsi" w:hAnsiTheme="minorHAnsi" w:cstheme="minorHAnsi"/>
          <w:i/>
          <w:sz w:val="16"/>
          <w:szCs w:val="16"/>
        </w:rPr>
        <w:t>Balancing Budgets: Tough Choices We Need</w:t>
      </w:r>
      <w:r w:rsidRPr="009F0604">
        <w:rPr>
          <w:rFonts w:asciiTheme="minorHAnsi" w:hAnsiTheme="minorHAnsi" w:cstheme="minorHAnsi"/>
          <w:sz w:val="16"/>
          <w:szCs w:val="16"/>
        </w:rPr>
        <w:t>, p. 74.</w:t>
      </w:r>
    </w:p>
  </w:footnote>
  <w:footnote w:id="4">
    <w:p w:rsidR="00C3374D" w:rsidRPr="009F0604" w:rsidRDefault="00C3374D" w:rsidP="00A27C2C">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Ibid, p. 74.</w:t>
      </w:r>
    </w:p>
  </w:footnote>
  <w:footnote w:id="5">
    <w:p w:rsidR="00C3374D" w:rsidRPr="009F0604" w:rsidRDefault="00C3374D" w:rsidP="009B0456">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Department of Social Services, </w:t>
      </w:r>
      <w:r w:rsidRPr="009F0604">
        <w:rPr>
          <w:rFonts w:cstheme="minorHAnsi"/>
          <w:i/>
          <w:sz w:val="16"/>
          <w:szCs w:val="16"/>
        </w:rPr>
        <w:t>Labor market and related data: a monthly profile,</w:t>
      </w:r>
      <w:r w:rsidRPr="009F0604">
        <w:rPr>
          <w:rFonts w:cstheme="minorHAnsi"/>
          <w:sz w:val="16"/>
          <w:szCs w:val="16"/>
        </w:rPr>
        <w:t xml:space="preserve"> 29 January 2014.</w:t>
      </w:r>
    </w:p>
  </w:footnote>
  <w:footnote w:id="6">
    <w:p w:rsidR="00C3374D" w:rsidRPr="009F0604" w:rsidRDefault="00C3374D" w:rsidP="005E334A">
      <w:pPr>
        <w:pStyle w:val="FootnoteText"/>
        <w:rPr>
          <w:rFonts w:cstheme="minorHAnsi"/>
          <w:sz w:val="16"/>
          <w:szCs w:val="16"/>
          <w:lang w:val="en-US"/>
        </w:rPr>
      </w:pPr>
      <w:r w:rsidRPr="009F0604">
        <w:rPr>
          <w:rStyle w:val="FootnoteReference"/>
          <w:rFonts w:cstheme="minorHAnsi"/>
          <w:sz w:val="16"/>
          <w:szCs w:val="16"/>
        </w:rPr>
        <w:footnoteRef/>
      </w:r>
      <w:r w:rsidRPr="009F0604">
        <w:rPr>
          <w:rFonts w:cstheme="minorHAnsi"/>
          <w:sz w:val="16"/>
          <w:szCs w:val="16"/>
        </w:rPr>
        <w:t xml:space="preserve"> </w:t>
      </w:r>
      <w:r w:rsidRPr="009F0604">
        <w:rPr>
          <w:rFonts w:cstheme="minorHAnsi"/>
          <w:i/>
          <w:sz w:val="16"/>
          <w:szCs w:val="16"/>
        </w:rPr>
        <w:t>“</w:t>
      </w:r>
      <w:r w:rsidRPr="009F0604">
        <w:rPr>
          <w:rFonts w:cstheme="minorHAnsi"/>
          <w:i/>
          <w:sz w:val="16"/>
          <w:szCs w:val="16"/>
          <w:lang w:val="en-US"/>
        </w:rPr>
        <w:t>Who is on Newstart?”</w:t>
      </w:r>
      <w:r w:rsidRPr="009F0604">
        <w:rPr>
          <w:rFonts w:cstheme="minorHAnsi"/>
          <w:sz w:val="16"/>
          <w:szCs w:val="16"/>
          <w:lang w:val="en-US"/>
        </w:rPr>
        <w:t xml:space="preserve"> </w:t>
      </w:r>
      <w:proofErr w:type="spellStart"/>
      <w:r w:rsidRPr="009F0604">
        <w:rPr>
          <w:rFonts w:cstheme="minorHAnsi"/>
          <w:sz w:val="16"/>
          <w:szCs w:val="16"/>
          <w:lang w:val="en-US"/>
        </w:rPr>
        <w:t>FlagPost</w:t>
      </w:r>
      <w:proofErr w:type="spellEnd"/>
      <w:r w:rsidRPr="009F0604">
        <w:rPr>
          <w:rFonts w:cstheme="minorHAnsi"/>
          <w:sz w:val="16"/>
          <w:szCs w:val="16"/>
          <w:lang w:val="en-US"/>
        </w:rPr>
        <w:t>, Commonwealth Parliamentary Library, 27 August 2012.</w:t>
      </w:r>
    </w:p>
  </w:footnote>
  <w:footnote w:id="7">
    <w:p w:rsidR="00C3374D" w:rsidRPr="009F0604" w:rsidRDefault="00C3374D" w:rsidP="009B5623">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Harmer, J. </w:t>
      </w:r>
      <w:r w:rsidRPr="009F0604">
        <w:rPr>
          <w:rFonts w:cstheme="minorHAnsi"/>
          <w:i/>
          <w:sz w:val="16"/>
          <w:szCs w:val="16"/>
        </w:rPr>
        <w:t>Pension Review Background Paper</w:t>
      </w:r>
      <w:r w:rsidRPr="009F0604">
        <w:rPr>
          <w:rFonts w:cstheme="minorHAnsi"/>
          <w:sz w:val="16"/>
          <w:szCs w:val="16"/>
        </w:rPr>
        <w:t>, Department of Families, Housing, Community Services and Indigenous Affairs, August 2008, p. 15.</w:t>
      </w:r>
    </w:p>
  </w:footnote>
  <w:footnote w:id="8">
    <w:p w:rsidR="00C3374D" w:rsidRPr="009F0604" w:rsidRDefault="00C3374D" w:rsidP="00000912">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Department of Employment, </w:t>
      </w:r>
      <w:r w:rsidRPr="009F0604">
        <w:rPr>
          <w:rFonts w:cstheme="minorHAnsi"/>
          <w:i/>
          <w:sz w:val="16"/>
          <w:szCs w:val="16"/>
        </w:rPr>
        <w:t>Labor Market Assistance Outcomes</w:t>
      </w:r>
      <w:r w:rsidRPr="009F0604">
        <w:rPr>
          <w:rFonts w:cstheme="minorHAnsi"/>
          <w:sz w:val="16"/>
          <w:szCs w:val="16"/>
        </w:rPr>
        <w:t>, June 2013.</w:t>
      </w:r>
    </w:p>
  </w:footnote>
  <w:footnote w:id="9">
    <w:p w:rsidR="00C3374D" w:rsidRPr="00C3374D" w:rsidRDefault="00C3374D" w:rsidP="00C3374D">
      <w:pPr>
        <w:outlineLvl w:val="0"/>
        <w:rPr>
          <w:rFonts w:asciiTheme="minorHAnsi" w:eastAsia="Times New Roman" w:hAnsiTheme="minorHAnsi" w:cstheme="minorHAnsi"/>
          <w:bCs/>
          <w:kern w:val="36"/>
          <w:sz w:val="16"/>
          <w:szCs w:val="16"/>
          <w:lang w:eastAsia="en-AU"/>
        </w:rPr>
      </w:pPr>
      <w:r w:rsidRPr="009F0604">
        <w:rPr>
          <w:rStyle w:val="FootnoteReference"/>
          <w:rFonts w:asciiTheme="minorHAnsi" w:hAnsiTheme="minorHAnsi" w:cstheme="minorHAnsi"/>
          <w:sz w:val="16"/>
          <w:szCs w:val="16"/>
        </w:rPr>
        <w:footnoteRef/>
      </w:r>
      <w:r w:rsidRPr="009F0604">
        <w:rPr>
          <w:rFonts w:asciiTheme="minorHAnsi" w:hAnsiTheme="minorHAnsi" w:cstheme="minorHAnsi"/>
          <w:sz w:val="16"/>
          <w:szCs w:val="16"/>
        </w:rPr>
        <w:t xml:space="preserve"> </w:t>
      </w:r>
      <w:proofErr w:type="spellStart"/>
      <w:r w:rsidRPr="009F0604">
        <w:rPr>
          <w:rFonts w:asciiTheme="minorHAnsi" w:eastAsia="Times New Roman" w:hAnsiTheme="minorHAnsi" w:cstheme="minorHAnsi"/>
          <w:bCs/>
          <w:kern w:val="36"/>
          <w:sz w:val="16"/>
          <w:szCs w:val="16"/>
          <w:lang w:eastAsia="en-AU"/>
        </w:rPr>
        <w:t>Abetz</w:t>
      </w:r>
      <w:proofErr w:type="spellEnd"/>
      <w:r w:rsidRPr="009F0604">
        <w:rPr>
          <w:rFonts w:asciiTheme="minorHAnsi" w:eastAsia="Times New Roman" w:hAnsiTheme="minorHAnsi" w:cstheme="minorHAnsi"/>
          <w:bCs/>
          <w:kern w:val="36"/>
          <w:sz w:val="16"/>
          <w:szCs w:val="16"/>
          <w:lang w:eastAsia="en-AU"/>
        </w:rPr>
        <w:t xml:space="preserve">, E. </w:t>
      </w:r>
      <w:r w:rsidRPr="009F0604">
        <w:rPr>
          <w:rFonts w:asciiTheme="minorHAnsi" w:eastAsia="Times New Roman" w:hAnsiTheme="minorHAnsi" w:cstheme="minorHAnsi"/>
          <w:bCs/>
          <w:i/>
          <w:kern w:val="36"/>
          <w:sz w:val="16"/>
          <w:szCs w:val="16"/>
          <w:lang w:eastAsia="en-AU"/>
        </w:rPr>
        <w:t>Tasmanian jobs programme starts six months early—employers urged to make a difference</w:t>
      </w:r>
      <w:r w:rsidRPr="009F0604">
        <w:rPr>
          <w:rFonts w:asciiTheme="minorHAnsi" w:eastAsia="Times New Roman" w:hAnsiTheme="minorHAnsi" w:cstheme="minorHAnsi"/>
          <w:bCs/>
          <w:kern w:val="36"/>
          <w:sz w:val="16"/>
          <w:szCs w:val="16"/>
          <w:lang w:eastAsia="en-AU"/>
        </w:rPr>
        <w:t>, Media Release, 17 December 2013.</w:t>
      </w:r>
    </w:p>
  </w:footnote>
  <w:footnote w:id="10">
    <w:p w:rsidR="00C3374D" w:rsidRPr="009F0604" w:rsidRDefault="00C3374D" w:rsidP="00BA710C">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Department of Education, Employment and Workplace Relations, </w:t>
      </w:r>
      <w:r w:rsidRPr="009F0604">
        <w:rPr>
          <w:rFonts w:cstheme="minorHAnsi"/>
          <w:i/>
          <w:iCs/>
          <w:sz w:val="16"/>
          <w:szCs w:val="16"/>
        </w:rPr>
        <w:t>Labour Market Assistance Outcomes</w:t>
      </w:r>
      <w:r w:rsidRPr="009F0604">
        <w:rPr>
          <w:rFonts w:cstheme="minorHAnsi"/>
          <w:sz w:val="16"/>
          <w:szCs w:val="16"/>
        </w:rPr>
        <w:t>, June 2012.</w:t>
      </w:r>
    </w:p>
  </w:footnote>
  <w:footnote w:id="11">
    <w:p w:rsidR="00C3374D" w:rsidRPr="009F0604" w:rsidRDefault="00C3374D">
      <w:pPr>
        <w:pStyle w:val="FootnoteText"/>
        <w:rPr>
          <w:rFonts w:cstheme="minorHAnsi"/>
          <w:sz w:val="16"/>
          <w:szCs w:val="16"/>
          <w:lang w:val="en-US"/>
        </w:rPr>
      </w:pPr>
      <w:r w:rsidRPr="009F0604">
        <w:rPr>
          <w:rStyle w:val="FootnoteReference"/>
          <w:rFonts w:cstheme="minorHAnsi"/>
          <w:sz w:val="16"/>
          <w:szCs w:val="16"/>
        </w:rPr>
        <w:footnoteRef/>
      </w:r>
      <w:r w:rsidRPr="009F0604">
        <w:rPr>
          <w:rFonts w:cstheme="minorHAnsi"/>
          <w:sz w:val="16"/>
          <w:szCs w:val="16"/>
        </w:rPr>
        <w:t xml:space="preserve"> </w:t>
      </w:r>
      <w:r w:rsidRPr="009F0604">
        <w:rPr>
          <w:rFonts w:cstheme="minorHAnsi"/>
          <w:sz w:val="16"/>
          <w:szCs w:val="16"/>
          <w:lang w:val="en-US"/>
        </w:rPr>
        <w:t xml:space="preserve">Department of Education, </w:t>
      </w:r>
      <w:r w:rsidRPr="009F0604">
        <w:rPr>
          <w:rFonts w:cstheme="minorHAnsi"/>
          <w:i/>
          <w:sz w:val="16"/>
          <w:szCs w:val="16"/>
          <w:lang w:val="en-US"/>
        </w:rPr>
        <w:t>Jobseeker Compliance Data</w:t>
      </w:r>
      <w:r w:rsidRPr="009F0604">
        <w:rPr>
          <w:rFonts w:cstheme="minorHAnsi"/>
          <w:sz w:val="16"/>
          <w:szCs w:val="16"/>
          <w:lang w:val="en-US"/>
        </w:rPr>
        <w:t>, various quarters, 2012-13</w:t>
      </w:r>
    </w:p>
  </w:footnote>
  <w:footnote w:id="12">
    <w:p w:rsidR="00C3374D" w:rsidRPr="009F0604" w:rsidRDefault="00C3374D" w:rsidP="00DF32B7">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Department of Education, Employment and Workplace Relations, </w:t>
      </w:r>
      <w:r w:rsidRPr="009F0604">
        <w:rPr>
          <w:rFonts w:cstheme="minorHAnsi"/>
          <w:i/>
          <w:iCs/>
          <w:sz w:val="16"/>
          <w:szCs w:val="16"/>
        </w:rPr>
        <w:t>Labour Market Assistance Outcomes</w:t>
      </w:r>
      <w:r w:rsidRPr="009F0604">
        <w:rPr>
          <w:rFonts w:cstheme="minorHAnsi"/>
          <w:sz w:val="16"/>
          <w:szCs w:val="16"/>
        </w:rPr>
        <w:t>, June 2012.</w:t>
      </w:r>
    </w:p>
  </w:footnote>
  <w:footnote w:id="13">
    <w:p w:rsidR="00C3374D" w:rsidRPr="009F0604" w:rsidRDefault="00C3374D">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Senate Department of Education, Employment and Workplace Legislation References Committee</w:t>
      </w:r>
      <w:r w:rsidRPr="009F0604">
        <w:rPr>
          <w:rFonts w:cstheme="minorHAnsi"/>
          <w:i/>
          <w:sz w:val="16"/>
          <w:szCs w:val="16"/>
        </w:rPr>
        <w:t>, Inquiry into the Newstart Allowance and related issues</w:t>
      </w:r>
      <w:r w:rsidRPr="009F0604">
        <w:rPr>
          <w:rFonts w:cstheme="minorHAnsi"/>
          <w:sz w:val="16"/>
          <w:szCs w:val="16"/>
        </w:rPr>
        <w:t>, November 2012.</w:t>
      </w:r>
    </w:p>
  </w:footnote>
  <w:footnote w:id="14">
    <w:p w:rsidR="00C3374D" w:rsidRPr="00D94BE6" w:rsidRDefault="00C3374D">
      <w:pPr>
        <w:pStyle w:val="FootnoteText"/>
        <w:rPr>
          <w:rFonts w:cstheme="minorHAnsi"/>
          <w:sz w:val="16"/>
          <w:szCs w:val="18"/>
        </w:rPr>
      </w:pPr>
      <w:r w:rsidRPr="009F0604">
        <w:rPr>
          <w:rStyle w:val="FootnoteReference"/>
          <w:rFonts w:cstheme="minorHAnsi"/>
          <w:sz w:val="16"/>
          <w:szCs w:val="16"/>
        </w:rPr>
        <w:footnoteRef/>
      </w:r>
      <w:r w:rsidRPr="009F0604">
        <w:rPr>
          <w:rFonts w:cstheme="minorHAnsi"/>
          <w:sz w:val="16"/>
          <w:szCs w:val="16"/>
        </w:rPr>
        <w:t xml:space="preserve"> </w:t>
      </w:r>
      <w:r w:rsidR="00D94BE6" w:rsidRPr="00D94BE6">
        <w:rPr>
          <w:sz w:val="16"/>
          <w:szCs w:val="18"/>
        </w:rPr>
        <w:t xml:space="preserve">Karvelas, P. </w:t>
      </w:r>
      <w:r w:rsidR="00D94BE6" w:rsidRPr="00D94BE6">
        <w:rPr>
          <w:i/>
          <w:sz w:val="16"/>
          <w:szCs w:val="18"/>
        </w:rPr>
        <w:t>Coalition puts increase in Newstart allowance on the table</w:t>
      </w:r>
      <w:r w:rsidR="00D94BE6" w:rsidRPr="00D94BE6">
        <w:rPr>
          <w:sz w:val="16"/>
          <w:szCs w:val="18"/>
        </w:rPr>
        <w:t xml:space="preserve">, </w:t>
      </w:r>
      <w:r w:rsidR="00D94BE6" w:rsidRPr="00D94BE6">
        <w:rPr>
          <w:i/>
          <w:iCs/>
          <w:sz w:val="16"/>
          <w:szCs w:val="18"/>
        </w:rPr>
        <w:t>The Australian</w:t>
      </w:r>
      <w:r w:rsidR="00D94BE6" w:rsidRPr="00D94BE6">
        <w:rPr>
          <w:sz w:val="16"/>
          <w:szCs w:val="18"/>
        </w:rPr>
        <w:t>, 5 January 2013</w:t>
      </w:r>
      <w:r w:rsidRPr="00D94BE6">
        <w:rPr>
          <w:rFonts w:cstheme="minorHAnsi"/>
          <w:sz w:val="16"/>
          <w:szCs w:val="18"/>
        </w:rPr>
        <w:t>.</w:t>
      </w:r>
    </w:p>
  </w:footnote>
  <w:footnote w:id="15">
    <w:p w:rsidR="00C3374D" w:rsidRPr="009F0604" w:rsidRDefault="00C3374D" w:rsidP="00331423">
      <w:pPr>
        <w:rPr>
          <w:rFonts w:asciiTheme="minorHAnsi" w:hAnsiTheme="minorHAnsi" w:cstheme="minorHAnsi"/>
          <w:sz w:val="16"/>
          <w:szCs w:val="16"/>
        </w:rPr>
      </w:pPr>
      <w:r w:rsidRPr="009F0604">
        <w:rPr>
          <w:rStyle w:val="FootnoteReference"/>
          <w:rFonts w:asciiTheme="minorHAnsi" w:hAnsiTheme="minorHAnsi" w:cstheme="minorHAnsi"/>
          <w:sz w:val="16"/>
          <w:szCs w:val="16"/>
        </w:rPr>
        <w:footnoteRef/>
      </w:r>
      <w:r w:rsidRPr="009F0604">
        <w:rPr>
          <w:rFonts w:asciiTheme="minorHAnsi" w:hAnsiTheme="minorHAnsi" w:cstheme="minorHAnsi"/>
          <w:sz w:val="16"/>
          <w:szCs w:val="16"/>
        </w:rPr>
        <w:t xml:space="preserve"> Australian Bureau of Statistics, </w:t>
      </w:r>
      <w:r w:rsidRPr="009F0604">
        <w:rPr>
          <w:rFonts w:asciiTheme="minorHAnsi" w:hAnsiTheme="minorHAnsi" w:cstheme="minorHAnsi"/>
          <w:i/>
          <w:sz w:val="16"/>
          <w:szCs w:val="16"/>
        </w:rPr>
        <w:t xml:space="preserve">Housing Occupancy and Costs 2009-10, ABS Report, </w:t>
      </w:r>
      <w:r w:rsidRPr="009F0604">
        <w:rPr>
          <w:rFonts w:asciiTheme="minorHAnsi" w:hAnsiTheme="minorHAnsi" w:cstheme="minorHAnsi"/>
          <w:sz w:val="16"/>
          <w:szCs w:val="16"/>
        </w:rPr>
        <w:t>16 November 2011, Cat. No. 4130.0.</w:t>
      </w:r>
    </w:p>
  </w:footnote>
  <w:footnote w:id="16">
    <w:p w:rsidR="00C3374D" w:rsidRPr="009F0604" w:rsidRDefault="00C3374D" w:rsidP="00331423">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National Housing Supply Council, </w:t>
      </w:r>
      <w:r w:rsidRPr="009F0604">
        <w:rPr>
          <w:rFonts w:cstheme="minorHAnsi"/>
          <w:i/>
          <w:sz w:val="16"/>
          <w:szCs w:val="16"/>
        </w:rPr>
        <w:t>Housing Supply and Affordability Issues 2012-13</w:t>
      </w:r>
      <w:r w:rsidRPr="009F0604">
        <w:rPr>
          <w:rFonts w:cstheme="minorHAnsi"/>
          <w:sz w:val="16"/>
          <w:szCs w:val="16"/>
        </w:rPr>
        <w:t>, 2013, p. ix.</w:t>
      </w:r>
    </w:p>
  </w:footnote>
  <w:footnote w:id="17">
    <w:p w:rsidR="00C3374D" w:rsidRPr="009F0604" w:rsidRDefault="00C3374D">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Senate Community Affairs Committee, Answers to Questions on Notice, Social Services Portfolio, Portfolio, </w:t>
      </w:r>
      <w:r w:rsidRPr="009F0604">
        <w:rPr>
          <w:rFonts w:cstheme="minorHAnsi"/>
          <w:i/>
          <w:sz w:val="16"/>
          <w:szCs w:val="16"/>
        </w:rPr>
        <w:t>20132-143 Supplementary Estimates Hearings, Question No. 216. All data in this section is from tables 1-7.</w:t>
      </w:r>
    </w:p>
  </w:footnote>
  <w:footnote w:id="18">
    <w:p w:rsidR="00C3374D" w:rsidRPr="009F0604" w:rsidRDefault="00C3374D" w:rsidP="00331423">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w:t>
      </w:r>
    </w:p>
  </w:footnote>
  <w:footnote w:id="19">
    <w:p w:rsidR="00C3374D" w:rsidRPr="009F0604" w:rsidRDefault="00C3374D" w:rsidP="00AA79A3">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Karvelas, P. </w:t>
      </w:r>
      <w:r w:rsidRPr="009F0604">
        <w:rPr>
          <w:rFonts w:cstheme="minorHAnsi"/>
          <w:i/>
          <w:sz w:val="16"/>
          <w:szCs w:val="16"/>
        </w:rPr>
        <w:t>Indigenous jobs gap widens</w:t>
      </w:r>
      <w:r w:rsidRPr="009F0604">
        <w:rPr>
          <w:rFonts w:cstheme="minorHAnsi"/>
          <w:sz w:val="16"/>
          <w:szCs w:val="16"/>
        </w:rPr>
        <w:t>, 23 January 2014.</w:t>
      </w:r>
    </w:p>
  </w:footnote>
  <w:footnote w:id="20">
    <w:p w:rsidR="00C3374D" w:rsidRPr="009F0604" w:rsidRDefault="00C3374D" w:rsidP="009B0456">
      <w:pPr>
        <w:rPr>
          <w:rFonts w:asciiTheme="minorHAnsi" w:hAnsiTheme="minorHAnsi" w:cstheme="minorHAnsi"/>
          <w:sz w:val="16"/>
          <w:szCs w:val="16"/>
        </w:rPr>
      </w:pPr>
      <w:r w:rsidRPr="009F0604">
        <w:rPr>
          <w:rStyle w:val="FootnoteReference"/>
          <w:rFonts w:asciiTheme="minorHAnsi" w:hAnsiTheme="minorHAnsi" w:cstheme="minorHAnsi"/>
          <w:sz w:val="16"/>
          <w:szCs w:val="16"/>
        </w:rPr>
        <w:footnoteRef/>
      </w:r>
      <w:r w:rsidRPr="009F0604">
        <w:rPr>
          <w:rFonts w:asciiTheme="minorHAnsi" w:hAnsiTheme="minorHAnsi" w:cstheme="minorHAnsi"/>
          <w:sz w:val="16"/>
          <w:szCs w:val="16"/>
        </w:rPr>
        <w:t xml:space="preserve"> See NWRN submissions to the </w:t>
      </w:r>
      <w:hyperlink r:id="rId1" w:history="1">
        <w:r w:rsidRPr="009F0604">
          <w:rPr>
            <w:rStyle w:val="Hyperlink"/>
            <w:rFonts w:asciiTheme="minorHAnsi" w:hAnsiTheme="minorHAnsi" w:cstheme="minorHAnsi"/>
            <w:sz w:val="16"/>
            <w:szCs w:val="16"/>
          </w:rPr>
          <w:t>2015 Review of Employment Services</w:t>
        </w:r>
      </w:hyperlink>
      <w:r w:rsidRPr="009F0604">
        <w:rPr>
          <w:rFonts w:asciiTheme="minorHAnsi" w:hAnsiTheme="minorHAnsi" w:cstheme="minorHAnsi"/>
          <w:sz w:val="16"/>
          <w:szCs w:val="16"/>
        </w:rPr>
        <w:t xml:space="preserve"> and </w:t>
      </w:r>
      <w:hyperlink r:id="rId2" w:history="1">
        <w:r w:rsidRPr="009F0604">
          <w:rPr>
            <w:rStyle w:val="Hyperlink"/>
            <w:rFonts w:asciiTheme="minorHAnsi" w:hAnsiTheme="minorHAnsi" w:cstheme="minorHAnsi"/>
            <w:sz w:val="16"/>
            <w:szCs w:val="16"/>
          </w:rPr>
          <w:t>Jobseeker Compliance Arrangements</w:t>
        </w:r>
      </w:hyperlink>
      <w:r w:rsidRPr="009F0604">
        <w:rPr>
          <w:rFonts w:asciiTheme="minorHAnsi" w:hAnsiTheme="minorHAnsi" w:cstheme="minorHAnsi"/>
          <w:sz w:val="16"/>
          <w:szCs w:val="16"/>
        </w:rPr>
        <w:t xml:space="preserve">. </w:t>
      </w:r>
    </w:p>
    <w:p w:rsidR="00C3374D" w:rsidRPr="009F0604" w:rsidRDefault="00C3374D" w:rsidP="009B0456">
      <w:pPr>
        <w:pStyle w:val="FootnoteText"/>
        <w:rPr>
          <w:rFonts w:cstheme="minorHAnsi"/>
          <w:sz w:val="16"/>
          <w:szCs w:val="16"/>
        </w:rPr>
      </w:pPr>
    </w:p>
  </w:footnote>
  <w:footnote w:id="21">
    <w:p w:rsidR="00C3374D" w:rsidRPr="009F0604" w:rsidRDefault="00C3374D">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Department of Education, </w:t>
      </w:r>
      <w:r w:rsidRPr="009F0604">
        <w:rPr>
          <w:rFonts w:cstheme="minorHAnsi"/>
          <w:i/>
          <w:sz w:val="16"/>
          <w:szCs w:val="16"/>
        </w:rPr>
        <w:t>Job Seeker Compliance Data, Various Quarters</w:t>
      </w:r>
      <w:r w:rsidRPr="009F0604">
        <w:rPr>
          <w:rFonts w:cstheme="minorHAnsi"/>
          <w:sz w:val="16"/>
          <w:szCs w:val="16"/>
        </w:rPr>
        <w:t>, 2012-13.</w:t>
      </w:r>
    </w:p>
  </w:footnote>
  <w:footnote w:id="22">
    <w:p w:rsidR="00C3374D" w:rsidRPr="009F0604" w:rsidRDefault="00C3374D" w:rsidP="000E46E9">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Department of Human Services, </w:t>
      </w:r>
      <w:r w:rsidRPr="009F0604">
        <w:rPr>
          <w:rFonts w:cstheme="minorHAnsi"/>
          <w:i/>
          <w:sz w:val="16"/>
          <w:szCs w:val="16"/>
        </w:rPr>
        <w:t>Annual Report 2012-13</w:t>
      </w:r>
      <w:r w:rsidRPr="009F0604">
        <w:rPr>
          <w:rFonts w:cstheme="minorHAnsi"/>
          <w:sz w:val="16"/>
          <w:szCs w:val="16"/>
        </w:rPr>
        <w:t>.</w:t>
      </w:r>
    </w:p>
  </w:footnote>
  <w:footnote w:id="23">
    <w:p w:rsidR="00C3374D" w:rsidRPr="009F0604" w:rsidRDefault="00C3374D" w:rsidP="00B5136A">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A New Tax System (Family Assistance) Act 1999.</w:t>
      </w:r>
    </w:p>
  </w:footnote>
  <w:footnote w:id="24">
    <w:p w:rsidR="00C3374D" w:rsidRPr="009F0604" w:rsidRDefault="00C3374D" w:rsidP="00B5136A">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Section 22A(1) provides that a child is not an “FTB Child” of a person if the child, or someone on behalf of the child, is receiving a social security pension, benefit or allowance or labour market program payment.</w:t>
      </w:r>
    </w:p>
  </w:footnote>
  <w:footnote w:id="25">
    <w:p w:rsidR="00C3374D" w:rsidRPr="009F0604" w:rsidRDefault="00C3374D">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National Welfare Rights Network and the Welfare Rights Centre, </w:t>
      </w:r>
      <w:r w:rsidRPr="009F0604">
        <w:rPr>
          <w:rFonts w:cstheme="minorHAnsi"/>
          <w:i/>
          <w:sz w:val="16"/>
          <w:szCs w:val="16"/>
        </w:rPr>
        <w:t>How Rent Assistance Fails Many Australians</w:t>
      </w:r>
      <w:r w:rsidRPr="009F0604">
        <w:rPr>
          <w:rFonts w:cstheme="minorHAnsi"/>
          <w:sz w:val="16"/>
          <w:szCs w:val="16"/>
        </w:rPr>
        <w:t>, May 2013.</w:t>
      </w:r>
    </w:p>
  </w:footnote>
  <w:footnote w:id="26">
    <w:p w:rsidR="00C3374D" w:rsidRPr="009F0604" w:rsidRDefault="00C3374D" w:rsidP="00921637">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OECD, </w:t>
      </w:r>
      <w:r w:rsidRPr="009F0604">
        <w:rPr>
          <w:rFonts w:cstheme="minorHAnsi"/>
          <w:i/>
          <w:sz w:val="16"/>
          <w:szCs w:val="16"/>
        </w:rPr>
        <w:t>Activating Job Seekers: How Australia Does It?,</w:t>
      </w:r>
      <w:r w:rsidRPr="009F0604">
        <w:rPr>
          <w:rFonts w:cstheme="minorHAnsi"/>
          <w:sz w:val="16"/>
          <w:szCs w:val="16"/>
        </w:rPr>
        <w:t xml:space="preserve"> 20120, pp. 68-69.</w:t>
      </w:r>
    </w:p>
  </w:footnote>
  <w:footnote w:id="27">
    <w:p w:rsidR="00C3374D" w:rsidRPr="009F0604" w:rsidRDefault="00C3374D">
      <w:pPr>
        <w:pStyle w:val="FootnoteText"/>
        <w:rPr>
          <w:rFonts w:cstheme="minorHAnsi"/>
          <w:sz w:val="16"/>
          <w:szCs w:val="16"/>
          <w:lang w:val="en-US"/>
        </w:rPr>
      </w:pPr>
      <w:r w:rsidRPr="009F0604">
        <w:rPr>
          <w:rStyle w:val="FootnoteReference"/>
          <w:rFonts w:cstheme="minorHAnsi"/>
          <w:sz w:val="16"/>
          <w:szCs w:val="16"/>
        </w:rPr>
        <w:footnoteRef/>
      </w:r>
      <w:r w:rsidRPr="009F0604">
        <w:rPr>
          <w:rFonts w:cstheme="minorHAnsi"/>
          <w:sz w:val="16"/>
          <w:szCs w:val="16"/>
        </w:rPr>
        <w:t xml:space="preserve"> </w:t>
      </w:r>
      <w:r w:rsidRPr="009F0604">
        <w:rPr>
          <w:rFonts w:cstheme="minorHAnsi"/>
          <w:sz w:val="16"/>
          <w:szCs w:val="16"/>
          <w:lang w:val="en-US"/>
        </w:rPr>
        <w:t>“</w:t>
      </w:r>
      <w:r w:rsidRPr="009F0604">
        <w:rPr>
          <w:rFonts w:cstheme="minorHAnsi"/>
          <w:i/>
          <w:sz w:val="16"/>
          <w:szCs w:val="16"/>
          <w:lang w:val="en-US"/>
        </w:rPr>
        <w:t>Reforming Tax Expenditures in Italy: What, Why and How?”</w:t>
      </w:r>
    </w:p>
  </w:footnote>
  <w:footnote w:id="28">
    <w:p w:rsidR="00C3374D" w:rsidRPr="009F0604" w:rsidRDefault="00C3374D">
      <w:pPr>
        <w:pStyle w:val="FootnoteText"/>
        <w:rPr>
          <w:rFonts w:cstheme="minorHAnsi"/>
          <w:sz w:val="16"/>
          <w:szCs w:val="16"/>
          <w:lang w:val="en-US"/>
        </w:rPr>
      </w:pPr>
      <w:r w:rsidRPr="009F0604">
        <w:rPr>
          <w:rStyle w:val="FootnoteReference"/>
          <w:rFonts w:cstheme="minorHAnsi"/>
          <w:sz w:val="16"/>
          <w:szCs w:val="16"/>
        </w:rPr>
        <w:footnoteRef/>
      </w:r>
      <w:r w:rsidRPr="009F0604">
        <w:rPr>
          <w:rFonts w:cstheme="minorHAnsi"/>
          <w:i/>
          <w:sz w:val="16"/>
          <w:szCs w:val="16"/>
        </w:rPr>
        <w:t xml:space="preserve"> </w:t>
      </w:r>
      <w:r w:rsidRPr="009F0604">
        <w:rPr>
          <w:rFonts w:cstheme="minorHAnsi"/>
          <w:i/>
          <w:sz w:val="16"/>
          <w:szCs w:val="16"/>
          <w:lang w:val="en-US"/>
        </w:rPr>
        <w:t xml:space="preserve">Australia tops the charts…in tax deductions; </w:t>
      </w:r>
      <w:r w:rsidRPr="009F0604">
        <w:rPr>
          <w:rFonts w:cstheme="minorHAnsi"/>
          <w:sz w:val="16"/>
          <w:szCs w:val="16"/>
          <w:lang w:val="en-US"/>
        </w:rPr>
        <w:t xml:space="preserve">Hannah </w:t>
      </w:r>
      <w:proofErr w:type="spellStart"/>
      <w:r w:rsidRPr="009F0604">
        <w:rPr>
          <w:rFonts w:cstheme="minorHAnsi"/>
          <w:sz w:val="16"/>
          <w:szCs w:val="16"/>
          <w:lang w:val="en-US"/>
        </w:rPr>
        <w:t>Gobbett</w:t>
      </w:r>
      <w:proofErr w:type="spellEnd"/>
      <w:r w:rsidRPr="009F0604">
        <w:rPr>
          <w:rFonts w:cstheme="minorHAnsi"/>
          <w:sz w:val="16"/>
          <w:szCs w:val="16"/>
          <w:lang w:val="en-US"/>
        </w:rPr>
        <w:t xml:space="preserve">, </w:t>
      </w:r>
      <w:proofErr w:type="spellStart"/>
      <w:r w:rsidRPr="009F0604">
        <w:rPr>
          <w:rFonts w:cstheme="minorHAnsi"/>
          <w:sz w:val="16"/>
          <w:szCs w:val="16"/>
          <w:lang w:val="en-US"/>
        </w:rPr>
        <w:t>FlagPost</w:t>
      </w:r>
      <w:proofErr w:type="spellEnd"/>
      <w:r w:rsidRPr="009F0604">
        <w:rPr>
          <w:rFonts w:cstheme="minorHAnsi"/>
          <w:sz w:val="16"/>
          <w:szCs w:val="16"/>
          <w:lang w:val="en-US"/>
        </w:rPr>
        <w:t>, Commonwealth Parliamentary Library, 29 January 2014</w:t>
      </w:r>
    </w:p>
  </w:footnote>
  <w:footnote w:id="29">
    <w:p w:rsidR="00C3374D" w:rsidRPr="009F0604" w:rsidRDefault="00C3374D" w:rsidP="000E2500">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Senate Community Affairs Committee, op </w:t>
      </w:r>
      <w:proofErr w:type="spellStart"/>
      <w:r w:rsidRPr="009F0604">
        <w:rPr>
          <w:rFonts w:cstheme="minorHAnsi"/>
          <w:sz w:val="16"/>
          <w:szCs w:val="16"/>
        </w:rPr>
        <w:t>cit</w:t>
      </w:r>
      <w:proofErr w:type="spellEnd"/>
      <w:r w:rsidRPr="009F0604">
        <w:rPr>
          <w:rFonts w:cstheme="minorHAnsi"/>
          <w:sz w:val="16"/>
          <w:szCs w:val="16"/>
        </w:rPr>
        <w:t>, 2013-14 Supplementary Estimates Hearings, Question No. 228.</w:t>
      </w:r>
    </w:p>
  </w:footnote>
  <w:footnote w:id="30">
    <w:p w:rsidR="00C3374D" w:rsidRPr="009F0604" w:rsidRDefault="00C3374D" w:rsidP="005512F4">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w:t>
      </w:r>
      <w:proofErr w:type="spellStart"/>
      <w:r w:rsidRPr="009F0604">
        <w:rPr>
          <w:rFonts w:cstheme="minorHAnsi"/>
          <w:sz w:val="16"/>
          <w:szCs w:val="16"/>
        </w:rPr>
        <w:t>Buckmaster</w:t>
      </w:r>
      <w:proofErr w:type="spellEnd"/>
      <w:r w:rsidRPr="009F0604">
        <w:rPr>
          <w:rFonts w:cstheme="minorHAnsi"/>
          <w:sz w:val="16"/>
          <w:szCs w:val="16"/>
        </w:rPr>
        <w:t xml:space="preserve">, L. </w:t>
      </w:r>
      <w:proofErr w:type="spellStart"/>
      <w:r w:rsidRPr="009F0604">
        <w:rPr>
          <w:rFonts w:cstheme="minorHAnsi"/>
          <w:sz w:val="16"/>
          <w:szCs w:val="16"/>
        </w:rPr>
        <w:t>Ey</w:t>
      </w:r>
      <w:proofErr w:type="spellEnd"/>
      <w:r w:rsidRPr="009F0604">
        <w:rPr>
          <w:rFonts w:cstheme="minorHAnsi"/>
          <w:sz w:val="16"/>
          <w:szCs w:val="16"/>
        </w:rPr>
        <w:t xml:space="preserve">, C and </w:t>
      </w:r>
      <w:proofErr w:type="spellStart"/>
      <w:r w:rsidRPr="009F0604">
        <w:rPr>
          <w:rFonts w:cstheme="minorHAnsi"/>
          <w:sz w:val="16"/>
          <w:szCs w:val="16"/>
        </w:rPr>
        <w:t>Klapdor</w:t>
      </w:r>
      <w:proofErr w:type="spellEnd"/>
      <w:r w:rsidRPr="009F0604">
        <w:rPr>
          <w:rFonts w:cstheme="minorHAnsi"/>
          <w:sz w:val="16"/>
          <w:szCs w:val="16"/>
        </w:rPr>
        <w:t xml:space="preserve">, M. </w:t>
      </w:r>
      <w:r w:rsidRPr="009F0604">
        <w:rPr>
          <w:rFonts w:cstheme="minorHAnsi"/>
          <w:i/>
          <w:sz w:val="16"/>
          <w:szCs w:val="16"/>
        </w:rPr>
        <w:t>Income management: an overview, Background Note</w:t>
      </w:r>
      <w:r w:rsidRPr="009F0604">
        <w:rPr>
          <w:rFonts w:cstheme="minorHAnsi"/>
          <w:sz w:val="16"/>
          <w:szCs w:val="16"/>
        </w:rPr>
        <w:t>, Parliamentary Library, June 2012, p. 40.</w:t>
      </w:r>
    </w:p>
  </w:footnote>
  <w:footnote w:id="31">
    <w:p w:rsidR="00C3374D" w:rsidRPr="009F0604" w:rsidRDefault="00C3374D" w:rsidP="00FB139C">
      <w:pPr>
        <w:autoSpaceDE w:val="0"/>
        <w:autoSpaceDN w:val="0"/>
        <w:rPr>
          <w:rFonts w:asciiTheme="minorHAnsi" w:hAnsiTheme="minorHAnsi" w:cstheme="minorHAnsi"/>
          <w:sz w:val="16"/>
          <w:szCs w:val="16"/>
        </w:rPr>
      </w:pPr>
      <w:r w:rsidRPr="009F0604">
        <w:rPr>
          <w:rStyle w:val="FootnoteReference"/>
          <w:rFonts w:asciiTheme="minorHAnsi" w:hAnsiTheme="minorHAnsi" w:cstheme="minorHAnsi"/>
          <w:sz w:val="16"/>
          <w:szCs w:val="16"/>
        </w:rPr>
        <w:footnoteRef/>
      </w:r>
      <w:r w:rsidRPr="009F0604">
        <w:rPr>
          <w:rFonts w:asciiTheme="minorHAnsi" w:hAnsiTheme="minorHAnsi" w:cstheme="minorHAnsi"/>
          <w:sz w:val="16"/>
          <w:szCs w:val="16"/>
        </w:rPr>
        <w:t xml:space="preserve"> Australian National Audit Office, ANAO Audit Report No. 19 2012–13, </w:t>
      </w:r>
      <w:r w:rsidRPr="009F0604">
        <w:rPr>
          <w:rFonts w:asciiTheme="minorHAnsi" w:hAnsiTheme="minorHAnsi" w:cstheme="minorHAnsi"/>
          <w:i/>
          <w:iCs/>
          <w:sz w:val="16"/>
          <w:szCs w:val="16"/>
        </w:rPr>
        <w:t>Administration of New Income Management in the Northern Territory</w:t>
      </w:r>
      <w:r w:rsidRPr="009F0604">
        <w:rPr>
          <w:rFonts w:asciiTheme="minorHAnsi" w:hAnsiTheme="minorHAnsi" w:cstheme="minorHAnsi"/>
          <w:sz w:val="16"/>
          <w:szCs w:val="16"/>
        </w:rPr>
        <w:t>, 2013, p. 94.</w:t>
      </w:r>
    </w:p>
  </w:footnote>
  <w:footnote w:id="32">
    <w:p w:rsidR="00C3374D" w:rsidRPr="009F0604" w:rsidRDefault="00C3374D" w:rsidP="000E2500">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The Seniors Supplement would continue to be paid to Veteran Gold Card holders. </w:t>
      </w:r>
    </w:p>
  </w:footnote>
  <w:footnote w:id="33">
    <w:p w:rsidR="00C3374D" w:rsidRPr="009F0604" w:rsidRDefault="00C3374D" w:rsidP="000E2500">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Department of Families, Housing, Community Services and Indigenous Affairs, </w:t>
      </w:r>
      <w:r w:rsidRPr="009F0604">
        <w:rPr>
          <w:rFonts w:cstheme="minorHAnsi"/>
          <w:i/>
          <w:sz w:val="16"/>
          <w:szCs w:val="16"/>
        </w:rPr>
        <w:t>Annual Report 2012-13</w:t>
      </w:r>
      <w:r w:rsidRPr="009F0604">
        <w:rPr>
          <w:rFonts w:cstheme="minorHAnsi"/>
          <w:sz w:val="16"/>
          <w:szCs w:val="16"/>
        </w:rPr>
        <w:t>, p. 66.</w:t>
      </w:r>
    </w:p>
  </w:footnote>
  <w:footnote w:id="34">
    <w:p w:rsidR="00C3374D" w:rsidRPr="009F0604" w:rsidRDefault="00C3374D" w:rsidP="006F31E2">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Productivity Commission, </w:t>
      </w:r>
      <w:r w:rsidRPr="009F0604">
        <w:rPr>
          <w:rFonts w:cstheme="minorHAnsi"/>
          <w:i/>
          <w:sz w:val="16"/>
          <w:szCs w:val="16"/>
        </w:rPr>
        <w:t>An Ageing Australia: Preparing for The Future</w:t>
      </w:r>
      <w:r w:rsidRPr="009F0604">
        <w:rPr>
          <w:rFonts w:cstheme="minorHAnsi"/>
          <w:sz w:val="16"/>
          <w:szCs w:val="16"/>
        </w:rPr>
        <w:t>, November 2013, p. 157.</w:t>
      </w:r>
    </w:p>
  </w:footnote>
  <w:footnote w:id="35">
    <w:p w:rsidR="00C3374D" w:rsidRPr="009F0604" w:rsidRDefault="00C3374D" w:rsidP="00B425E9">
      <w:pPr>
        <w:pStyle w:val="FootnoteText"/>
        <w:rPr>
          <w:rFonts w:cstheme="minorHAnsi"/>
          <w:sz w:val="16"/>
          <w:szCs w:val="16"/>
          <w:lang w:val="en-US"/>
        </w:rPr>
      </w:pPr>
      <w:r w:rsidRPr="009F0604">
        <w:rPr>
          <w:rStyle w:val="FootnoteReference"/>
          <w:rFonts w:cstheme="minorHAnsi"/>
          <w:sz w:val="16"/>
          <w:szCs w:val="16"/>
        </w:rPr>
        <w:footnoteRef/>
      </w:r>
      <w:r w:rsidRPr="009F0604">
        <w:rPr>
          <w:rFonts w:cstheme="minorHAnsi"/>
          <w:sz w:val="16"/>
          <w:szCs w:val="16"/>
        </w:rPr>
        <w:t xml:space="preserve"> </w:t>
      </w:r>
      <w:r w:rsidRPr="009F0604">
        <w:rPr>
          <w:rFonts w:cstheme="minorHAnsi"/>
          <w:i/>
          <w:sz w:val="16"/>
          <w:szCs w:val="16"/>
          <w:lang w:val="en-US"/>
        </w:rPr>
        <w:t>Productivity Commission, Paid parental leave: support for parents with newborn children</w:t>
      </w:r>
      <w:r w:rsidRPr="009F0604">
        <w:rPr>
          <w:rFonts w:cstheme="minorHAnsi"/>
          <w:sz w:val="16"/>
          <w:szCs w:val="16"/>
          <w:lang w:val="en-US"/>
        </w:rPr>
        <w:t xml:space="preserve">, Inquiry report, 47, PC, Melbourne, 28 February 2009 as quoted in </w:t>
      </w:r>
      <w:r w:rsidRPr="009F0604">
        <w:rPr>
          <w:rFonts w:cstheme="minorHAnsi"/>
          <w:i/>
          <w:sz w:val="16"/>
          <w:szCs w:val="16"/>
          <w:lang w:val="en-US"/>
        </w:rPr>
        <w:t>Comparing the Paid Parental Leave schemes</w:t>
      </w:r>
      <w:r w:rsidRPr="009F0604">
        <w:rPr>
          <w:rFonts w:cstheme="minorHAnsi"/>
          <w:sz w:val="16"/>
          <w:szCs w:val="16"/>
          <w:lang w:val="en-US"/>
        </w:rPr>
        <w:t xml:space="preserve">; </w:t>
      </w:r>
      <w:proofErr w:type="spellStart"/>
      <w:r w:rsidRPr="009F0604">
        <w:rPr>
          <w:rFonts w:cstheme="minorHAnsi"/>
          <w:sz w:val="16"/>
          <w:szCs w:val="16"/>
          <w:lang w:val="en-US"/>
        </w:rPr>
        <w:t>Dr</w:t>
      </w:r>
      <w:proofErr w:type="spellEnd"/>
      <w:r w:rsidRPr="009F0604">
        <w:rPr>
          <w:rFonts w:cstheme="minorHAnsi"/>
          <w:sz w:val="16"/>
          <w:szCs w:val="16"/>
          <w:lang w:val="en-US"/>
        </w:rPr>
        <w:t xml:space="preserve"> Luke </w:t>
      </w:r>
      <w:proofErr w:type="spellStart"/>
      <w:r w:rsidRPr="009F0604">
        <w:rPr>
          <w:rFonts w:cstheme="minorHAnsi"/>
          <w:sz w:val="16"/>
          <w:szCs w:val="16"/>
          <w:lang w:val="en-US"/>
        </w:rPr>
        <w:t>Buckmaster</w:t>
      </w:r>
      <w:proofErr w:type="spellEnd"/>
      <w:r w:rsidRPr="009F0604">
        <w:rPr>
          <w:rFonts w:cstheme="minorHAnsi"/>
          <w:sz w:val="16"/>
          <w:szCs w:val="16"/>
          <w:lang w:val="en-US"/>
        </w:rPr>
        <w:t>, Parliamentary Library Briefing Book: Key Issues for the 44</w:t>
      </w:r>
      <w:r w:rsidRPr="009F0604">
        <w:rPr>
          <w:rFonts w:cstheme="minorHAnsi"/>
          <w:sz w:val="16"/>
          <w:szCs w:val="16"/>
          <w:vertAlign w:val="superscript"/>
          <w:lang w:val="en-US"/>
        </w:rPr>
        <w:t>th</w:t>
      </w:r>
      <w:r w:rsidRPr="009F0604">
        <w:rPr>
          <w:rFonts w:cstheme="minorHAnsi"/>
          <w:sz w:val="16"/>
          <w:szCs w:val="16"/>
          <w:lang w:val="en-US"/>
        </w:rPr>
        <w:t xml:space="preserve"> Parliament.</w:t>
      </w:r>
    </w:p>
  </w:footnote>
  <w:footnote w:id="36">
    <w:p w:rsidR="00C3374D" w:rsidRPr="009F0604" w:rsidRDefault="00C3374D" w:rsidP="00B425E9">
      <w:pPr>
        <w:pStyle w:val="FootnoteText"/>
        <w:rPr>
          <w:rFonts w:cstheme="minorHAnsi"/>
          <w:sz w:val="16"/>
          <w:szCs w:val="16"/>
          <w:lang w:val="en-US"/>
        </w:rPr>
      </w:pPr>
      <w:r w:rsidRPr="009F0604">
        <w:rPr>
          <w:rStyle w:val="FootnoteReference"/>
          <w:rFonts w:cstheme="minorHAnsi"/>
          <w:sz w:val="16"/>
          <w:szCs w:val="16"/>
        </w:rPr>
        <w:footnoteRef/>
      </w:r>
      <w:r w:rsidRPr="009F0604">
        <w:rPr>
          <w:rFonts w:cstheme="minorHAnsi"/>
          <w:sz w:val="16"/>
          <w:szCs w:val="16"/>
        </w:rPr>
        <w:t xml:space="preserve"> </w:t>
      </w:r>
      <w:r w:rsidRPr="009F0604">
        <w:rPr>
          <w:rFonts w:cstheme="minorHAnsi"/>
          <w:i/>
          <w:sz w:val="16"/>
          <w:szCs w:val="16"/>
          <w:lang w:val="en-US"/>
        </w:rPr>
        <w:t>Productivity Commission, Paid parental leave: support for parents with newborn children</w:t>
      </w:r>
      <w:r w:rsidRPr="009F0604">
        <w:rPr>
          <w:rFonts w:cstheme="minorHAnsi"/>
          <w:sz w:val="16"/>
          <w:szCs w:val="16"/>
          <w:lang w:val="en-US"/>
        </w:rPr>
        <w:t xml:space="preserve">, </w:t>
      </w:r>
      <w:r w:rsidR="00D94BE6">
        <w:rPr>
          <w:rFonts w:cstheme="minorHAnsi"/>
          <w:sz w:val="16"/>
          <w:szCs w:val="16"/>
          <w:lang w:val="en-US"/>
        </w:rPr>
        <w:t>Inquiry report, 47, PC, Melbourn</w:t>
      </w:r>
      <w:r w:rsidRPr="009F0604">
        <w:rPr>
          <w:rFonts w:cstheme="minorHAnsi"/>
          <w:sz w:val="16"/>
          <w:szCs w:val="16"/>
          <w:lang w:val="en-US"/>
        </w:rPr>
        <w:t xml:space="preserve">e, 28 February 2009 as quoted in </w:t>
      </w:r>
      <w:r w:rsidRPr="009F0604">
        <w:rPr>
          <w:rFonts w:cstheme="minorHAnsi"/>
          <w:i/>
          <w:sz w:val="16"/>
          <w:szCs w:val="16"/>
          <w:lang w:val="en-US"/>
        </w:rPr>
        <w:t>Comparing the Paid Parental Leave schemes</w:t>
      </w:r>
      <w:r w:rsidRPr="009F0604">
        <w:rPr>
          <w:rFonts w:cstheme="minorHAnsi"/>
          <w:sz w:val="16"/>
          <w:szCs w:val="16"/>
          <w:lang w:val="en-US"/>
        </w:rPr>
        <w:t xml:space="preserve">; </w:t>
      </w:r>
      <w:proofErr w:type="spellStart"/>
      <w:r w:rsidRPr="009F0604">
        <w:rPr>
          <w:rFonts w:cstheme="minorHAnsi"/>
          <w:sz w:val="16"/>
          <w:szCs w:val="16"/>
          <w:lang w:val="en-US"/>
        </w:rPr>
        <w:t>Dr</w:t>
      </w:r>
      <w:proofErr w:type="spellEnd"/>
      <w:r w:rsidRPr="009F0604">
        <w:rPr>
          <w:rFonts w:cstheme="minorHAnsi"/>
          <w:sz w:val="16"/>
          <w:szCs w:val="16"/>
          <w:lang w:val="en-US"/>
        </w:rPr>
        <w:t xml:space="preserve"> Luke </w:t>
      </w:r>
      <w:proofErr w:type="spellStart"/>
      <w:r w:rsidRPr="009F0604">
        <w:rPr>
          <w:rFonts w:cstheme="minorHAnsi"/>
          <w:sz w:val="16"/>
          <w:szCs w:val="16"/>
          <w:lang w:val="en-US"/>
        </w:rPr>
        <w:t>Buckmaster</w:t>
      </w:r>
      <w:proofErr w:type="spellEnd"/>
      <w:r w:rsidRPr="009F0604">
        <w:rPr>
          <w:rFonts w:cstheme="minorHAnsi"/>
          <w:sz w:val="16"/>
          <w:szCs w:val="16"/>
          <w:lang w:val="en-US"/>
        </w:rPr>
        <w:t>, Parliamentary Library Briefing Book: Key Issues for the 44</w:t>
      </w:r>
      <w:r w:rsidRPr="009F0604">
        <w:rPr>
          <w:rFonts w:cstheme="minorHAnsi"/>
          <w:sz w:val="16"/>
          <w:szCs w:val="16"/>
          <w:vertAlign w:val="superscript"/>
          <w:lang w:val="en-US"/>
        </w:rPr>
        <w:t>th</w:t>
      </w:r>
      <w:r w:rsidRPr="009F0604">
        <w:rPr>
          <w:rFonts w:cstheme="minorHAnsi"/>
          <w:sz w:val="16"/>
          <w:szCs w:val="16"/>
          <w:lang w:val="en-US"/>
        </w:rPr>
        <w:t xml:space="preserve"> Parliament.</w:t>
      </w:r>
    </w:p>
  </w:footnote>
  <w:footnote w:id="37">
    <w:p w:rsidR="00C3374D" w:rsidRPr="009F0604" w:rsidRDefault="00C3374D" w:rsidP="000E2500">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Australian Financial Review, </w:t>
      </w:r>
      <w:r w:rsidRPr="009F0604">
        <w:rPr>
          <w:rFonts w:cstheme="minorHAnsi"/>
          <w:i/>
          <w:sz w:val="16"/>
          <w:szCs w:val="16"/>
        </w:rPr>
        <w:t>Property tax review a matter of fairness</w:t>
      </w:r>
      <w:r w:rsidRPr="009F0604">
        <w:rPr>
          <w:rFonts w:cstheme="minorHAnsi"/>
          <w:sz w:val="16"/>
          <w:szCs w:val="16"/>
        </w:rPr>
        <w:t>, 11 January 2014.</w:t>
      </w:r>
    </w:p>
  </w:footnote>
  <w:footnote w:id="38">
    <w:p w:rsidR="00C3374D" w:rsidRPr="009F0604" w:rsidRDefault="00C3374D" w:rsidP="000E2500">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Grattan Institute, Balancing budgets: </w:t>
      </w:r>
      <w:r w:rsidRPr="009F0604">
        <w:rPr>
          <w:rFonts w:cstheme="minorHAnsi"/>
          <w:i/>
          <w:sz w:val="16"/>
          <w:szCs w:val="16"/>
        </w:rPr>
        <w:t>Tough choices we need, Supporting Analysis</w:t>
      </w:r>
      <w:r w:rsidRPr="009F0604">
        <w:rPr>
          <w:rFonts w:cstheme="minorHAnsi"/>
          <w:sz w:val="16"/>
          <w:szCs w:val="16"/>
        </w:rPr>
        <w:t>, November 2013, p. 20.</w:t>
      </w:r>
    </w:p>
  </w:footnote>
  <w:footnote w:id="39">
    <w:p w:rsidR="00C3374D" w:rsidRPr="009F0604" w:rsidRDefault="00C3374D" w:rsidP="009B5B91">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Australian Council of Social Service, </w:t>
      </w:r>
      <w:r w:rsidRPr="009F0604">
        <w:rPr>
          <w:rFonts w:cstheme="minorHAnsi"/>
          <w:i/>
          <w:sz w:val="16"/>
          <w:szCs w:val="16"/>
        </w:rPr>
        <w:t>Poverty in Australia</w:t>
      </w:r>
      <w:r w:rsidRPr="009F0604">
        <w:rPr>
          <w:rFonts w:cstheme="minorHAnsi"/>
          <w:sz w:val="16"/>
          <w:szCs w:val="16"/>
        </w:rPr>
        <w:t>, 2012.</w:t>
      </w:r>
    </w:p>
  </w:footnote>
  <w:footnote w:id="40">
    <w:p w:rsidR="00C3374D" w:rsidRPr="009F0604" w:rsidRDefault="00C3374D" w:rsidP="009B5B91">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Harmer, J. </w:t>
      </w:r>
      <w:r w:rsidRPr="009F0604">
        <w:rPr>
          <w:rFonts w:cstheme="minorHAnsi"/>
          <w:i/>
          <w:sz w:val="16"/>
          <w:szCs w:val="16"/>
        </w:rPr>
        <w:t>Pension Review Background Paper</w:t>
      </w:r>
      <w:r w:rsidRPr="009F0604">
        <w:rPr>
          <w:rFonts w:cstheme="minorHAnsi"/>
          <w:sz w:val="16"/>
          <w:szCs w:val="16"/>
        </w:rPr>
        <w:t>, Department of Families, Housing, Community Services and Indigenous Affairs, 2008.</w:t>
      </w:r>
    </w:p>
  </w:footnote>
  <w:footnote w:id="41">
    <w:p w:rsidR="00C3374D" w:rsidRPr="009F0604" w:rsidRDefault="00C3374D" w:rsidP="009B5B91">
      <w:pPr>
        <w:pStyle w:val="FootnoteText"/>
        <w:rPr>
          <w:rFonts w:cstheme="minorHAnsi"/>
          <w:sz w:val="16"/>
          <w:szCs w:val="16"/>
        </w:rPr>
      </w:pPr>
      <w:r w:rsidRPr="009F0604">
        <w:rPr>
          <w:rStyle w:val="FootnoteReference"/>
          <w:rFonts w:cstheme="minorHAnsi"/>
          <w:sz w:val="16"/>
          <w:szCs w:val="16"/>
        </w:rPr>
        <w:footnoteRef/>
      </w:r>
      <w:r w:rsidRPr="009F0604">
        <w:rPr>
          <w:rFonts w:cstheme="minorHAnsi"/>
          <w:sz w:val="16"/>
          <w:szCs w:val="16"/>
        </w:rPr>
        <w:t xml:space="preserve"> Department of Human Services, </w:t>
      </w:r>
      <w:r w:rsidRPr="009F0604">
        <w:rPr>
          <w:rFonts w:cstheme="minorHAnsi"/>
          <w:i/>
          <w:sz w:val="16"/>
          <w:szCs w:val="16"/>
        </w:rPr>
        <w:t>A Guide to Australian Government Payments</w:t>
      </w:r>
      <w:r w:rsidRPr="009F0604">
        <w:rPr>
          <w:rFonts w:cstheme="minorHAnsi"/>
          <w:sz w:val="16"/>
          <w:szCs w:val="16"/>
        </w:rPr>
        <w:t>, 20 September - 31 December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BBF"/>
    <w:multiLevelType w:val="hybridMultilevel"/>
    <w:tmpl w:val="718EE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211443"/>
    <w:multiLevelType w:val="hybridMultilevel"/>
    <w:tmpl w:val="25CED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5C4DB7"/>
    <w:multiLevelType w:val="hybridMultilevel"/>
    <w:tmpl w:val="5664A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2F1B65"/>
    <w:multiLevelType w:val="hybridMultilevel"/>
    <w:tmpl w:val="C27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673D89"/>
    <w:multiLevelType w:val="hybridMultilevel"/>
    <w:tmpl w:val="3A38EA1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407C76"/>
    <w:multiLevelType w:val="hybridMultilevel"/>
    <w:tmpl w:val="DFC07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51008E"/>
    <w:multiLevelType w:val="hybridMultilevel"/>
    <w:tmpl w:val="CC883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5C2568"/>
    <w:multiLevelType w:val="hybridMultilevel"/>
    <w:tmpl w:val="85F0F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FF4FDA"/>
    <w:multiLevelType w:val="hybridMultilevel"/>
    <w:tmpl w:val="2F649B3A"/>
    <w:lvl w:ilvl="0" w:tplc="6712BEDE">
      <w:start w:val="1"/>
      <w:numFmt w:val="bullet"/>
      <w:pStyle w:val="CurrentBluebookstatisticalhighlights"/>
      <w:lvlText w:val=""/>
      <w:lvlJc w:val="left"/>
      <w:pPr>
        <w:tabs>
          <w:tab w:val="num" w:pos="1418"/>
        </w:tabs>
        <w:ind w:left="1418"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D7C662E"/>
    <w:multiLevelType w:val="hybridMultilevel"/>
    <w:tmpl w:val="7660D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CB1198"/>
    <w:multiLevelType w:val="hybridMultilevel"/>
    <w:tmpl w:val="2BB29C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77C7055"/>
    <w:multiLevelType w:val="hybridMultilevel"/>
    <w:tmpl w:val="9D5C3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ACC15BB"/>
    <w:multiLevelType w:val="hybridMultilevel"/>
    <w:tmpl w:val="D9B21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EB91DD8"/>
    <w:multiLevelType w:val="hybridMultilevel"/>
    <w:tmpl w:val="4FA01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713428"/>
    <w:multiLevelType w:val="hybridMultilevel"/>
    <w:tmpl w:val="1DBAB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C21A5E"/>
    <w:multiLevelType w:val="hybridMultilevel"/>
    <w:tmpl w:val="9C40C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41343C25"/>
    <w:multiLevelType w:val="multilevel"/>
    <w:tmpl w:val="21F4F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24F15C6"/>
    <w:multiLevelType w:val="hybridMultilevel"/>
    <w:tmpl w:val="FCF4E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E84EAF"/>
    <w:multiLevelType w:val="hybridMultilevel"/>
    <w:tmpl w:val="CA329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22151E"/>
    <w:multiLevelType w:val="hybridMultilevel"/>
    <w:tmpl w:val="A51CA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BA6569F"/>
    <w:multiLevelType w:val="hybridMultilevel"/>
    <w:tmpl w:val="D64EEB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D8B01BC"/>
    <w:multiLevelType w:val="multilevel"/>
    <w:tmpl w:val="C6A09E2E"/>
    <w:lvl w:ilvl="0">
      <w:start w:val="1"/>
      <w:numFmt w:val="bullet"/>
      <w:pStyle w:val="strongindent"/>
      <w:lvlText w:val=""/>
      <w:lvlJc w:val="left"/>
      <w:pPr>
        <w:ind w:left="72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E5435B"/>
    <w:multiLevelType w:val="hybridMultilevel"/>
    <w:tmpl w:val="9CC0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E057B2"/>
    <w:multiLevelType w:val="hybridMultilevel"/>
    <w:tmpl w:val="26DC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3676CF"/>
    <w:multiLevelType w:val="hybridMultilevel"/>
    <w:tmpl w:val="5276E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6">
    <w:nsid w:val="57DC69DE"/>
    <w:multiLevelType w:val="multilevel"/>
    <w:tmpl w:val="68C81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07C39E4"/>
    <w:multiLevelType w:val="hybridMultilevel"/>
    <w:tmpl w:val="36828782"/>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8">
    <w:nsid w:val="62AB734A"/>
    <w:multiLevelType w:val="hybridMultilevel"/>
    <w:tmpl w:val="59520D6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4811A5"/>
    <w:multiLevelType w:val="hybridMultilevel"/>
    <w:tmpl w:val="549C7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ABA3D53"/>
    <w:multiLevelType w:val="hybridMultilevel"/>
    <w:tmpl w:val="BC26A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E74F09"/>
    <w:multiLevelType w:val="hybridMultilevel"/>
    <w:tmpl w:val="89C6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760417"/>
    <w:multiLevelType w:val="hybridMultilevel"/>
    <w:tmpl w:val="AAE6EB8E"/>
    <w:lvl w:ilvl="0" w:tplc="6290B450">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70E42783"/>
    <w:multiLevelType w:val="hybridMultilevel"/>
    <w:tmpl w:val="2AF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FD1198"/>
    <w:multiLevelType w:val="hybridMultilevel"/>
    <w:tmpl w:val="5874E6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9697B4D"/>
    <w:multiLevelType w:val="hybridMultilevel"/>
    <w:tmpl w:val="01FA1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0"/>
  </w:num>
  <w:num w:numId="4">
    <w:abstractNumId w:val="30"/>
  </w:num>
  <w:num w:numId="5">
    <w:abstractNumId w:val="4"/>
  </w:num>
  <w:num w:numId="6">
    <w:abstractNumId w:val="23"/>
  </w:num>
  <w:num w:numId="7">
    <w:abstractNumId w:val="17"/>
  </w:num>
  <w:num w:numId="8">
    <w:abstractNumId w:val="13"/>
  </w:num>
  <w:num w:numId="9">
    <w:abstractNumId w:val="3"/>
  </w:num>
  <w:num w:numId="10">
    <w:abstractNumId w:val="0"/>
  </w:num>
  <w:num w:numId="11">
    <w:abstractNumId w:val="27"/>
  </w:num>
  <w:num w:numId="12">
    <w:abstractNumId w:val="29"/>
  </w:num>
  <w:num w:numId="13">
    <w:abstractNumId w:val="19"/>
  </w:num>
  <w:num w:numId="14">
    <w:abstractNumId w:val="35"/>
  </w:num>
  <w:num w:numId="15">
    <w:abstractNumId w:val="12"/>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4"/>
  </w:num>
  <w:num w:numId="20">
    <w:abstractNumId w:val="2"/>
  </w:num>
  <w:num w:numId="21">
    <w:abstractNumId w:val="14"/>
  </w:num>
  <w:num w:numId="22">
    <w:abstractNumId w:val="9"/>
  </w:num>
  <w:num w:numId="23">
    <w:abstractNumId w:val="8"/>
  </w:num>
  <w:num w:numId="24">
    <w:abstractNumId w:val="11"/>
  </w:num>
  <w:num w:numId="25">
    <w:abstractNumId w:val="15"/>
  </w:num>
  <w:num w:numId="26">
    <w:abstractNumId w:val="25"/>
  </w:num>
  <w:num w:numId="27">
    <w:abstractNumId w:val="7"/>
  </w:num>
  <w:num w:numId="28">
    <w:abstractNumId w:val="31"/>
  </w:num>
  <w:num w:numId="29">
    <w:abstractNumId w:val="5"/>
  </w:num>
  <w:num w:numId="30">
    <w:abstractNumId w:val="28"/>
  </w:num>
  <w:num w:numId="31">
    <w:abstractNumId w:val="1"/>
  </w:num>
  <w:num w:numId="32">
    <w:abstractNumId w:val="6"/>
  </w:num>
  <w:num w:numId="33">
    <w:abstractNumId w:val="10"/>
  </w:num>
  <w:num w:numId="34">
    <w:abstractNumId w:val="18"/>
  </w:num>
  <w:num w:numId="35">
    <w:abstractNumId w:val="21"/>
  </w:num>
  <w:num w:numId="36">
    <w:abstractNumId w:val="33"/>
  </w:num>
  <w:num w:numId="37">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237"/>
    <w:rsid w:val="00000912"/>
    <w:rsid w:val="000014C6"/>
    <w:rsid w:val="000027A5"/>
    <w:rsid w:val="000034F3"/>
    <w:rsid w:val="000038A4"/>
    <w:rsid w:val="00004718"/>
    <w:rsid w:val="000077F2"/>
    <w:rsid w:val="00012394"/>
    <w:rsid w:val="000135F7"/>
    <w:rsid w:val="00014125"/>
    <w:rsid w:val="000148FD"/>
    <w:rsid w:val="00016E4B"/>
    <w:rsid w:val="00020643"/>
    <w:rsid w:val="000206A5"/>
    <w:rsid w:val="000210D5"/>
    <w:rsid w:val="00022462"/>
    <w:rsid w:val="0002252A"/>
    <w:rsid w:val="00026314"/>
    <w:rsid w:val="00026D12"/>
    <w:rsid w:val="0002785A"/>
    <w:rsid w:val="00031BE5"/>
    <w:rsid w:val="00033FAE"/>
    <w:rsid w:val="00036D36"/>
    <w:rsid w:val="00040A33"/>
    <w:rsid w:val="0004509C"/>
    <w:rsid w:val="00045F19"/>
    <w:rsid w:val="00047568"/>
    <w:rsid w:val="000523F7"/>
    <w:rsid w:val="00054778"/>
    <w:rsid w:val="000561C1"/>
    <w:rsid w:val="00060551"/>
    <w:rsid w:val="00060B37"/>
    <w:rsid w:val="00062C57"/>
    <w:rsid w:val="000641A2"/>
    <w:rsid w:val="0006597A"/>
    <w:rsid w:val="00067470"/>
    <w:rsid w:val="00072000"/>
    <w:rsid w:val="00073A16"/>
    <w:rsid w:val="00073C3C"/>
    <w:rsid w:val="0007657B"/>
    <w:rsid w:val="000821BF"/>
    <w:rsid w:val="00082F7F"/>
    <w:rsid w:val="00084EDB"/>
    <w:rsid w:val="00085399"/>
    <w:rsid w:val="000871FB"/>
    <w:rsid w:val="00087B66"/>
    <w:rsid w:val="000903A9"/>
    <w:rsid w:val="000939BA"/>
    <w:rsid w:val="00094195"/>
    <w:rsid w:val="000966B1"/>
    <w:rsid w:val="00096BB4"/>
    <w:rsid w:val="000A3525"/>
    <w:rsid w:val="000A3CFA"/>
    <w:rsid w:val="000A5475"/>
    <w:rsid w:val="000A74CF"/>
    <w:rsid w:val="000A7C52"/>
    <w:rsid w:val="000B2392"/>
    <w:rsid w:val="000B2DFA"/>
    <w:rsid w:val="000B37C2"/>
    <w:rsid w:val="000B7D34"/>
    <w:rsid w:val="000C212C"/>
    <w:rsid w:val="000C28DC"/>
    <w:rsid w:val="000C456C"/>
    <w:rsid w:val="000C6918"/>
    <w:rsid w:val="000C7890"/>
    <w:rsid w:val="000D569A"/>
    <w:rsid w:val="000D5DB9"/>
    <w:rsid w:val="000D6BF7"/>
    <w:rsid w:val="000D7FBB"/>
    <w:rsid w:val="000E1A3F"/>
    <w:rsid w:val="000E2196"/>
    <w:rsid w:val="000E2467"/>
    <w:rsid w:val="000E2500"/>
    <w:rsid w:val="000E350F"/>
    <w:rsid w:val="000E4393"/>
    <w:rsid w:val="000E46E9"/>
    <w:rsid w:val="000E5D83"/>
    <w:rsid w:val="000E61BA"/>
    <w:rsid w:val="000F108E"/>
    <w:rsid w:val="000F146B"/>
    <w:rsid w:val="000F25C0"/>
    <w:rsid w:val="000F3B25"/>
    <w:rsid w:val="001017D4"/>
    <w:rsid w:val="001021AA"/>
    <w:rsid w:val="0010482C"/>
    <w:rsid w:val="00110B9B"/>
    <w:rsid w:val="00113262"/>
    <w:rsid w:val="001158E5"/>
    <w:rsid w:val="00117B58"/>
    <w:rsid w:val="00131868"/>
    <w:rsid w:val="00132C8E"/>
    <w:rsid w:val="001371E2"/>
    <w:rsid w:val="00137B51"/>
    <w:rsid w:val="00141844"/>
    <w:rsid w:val="0014389A"/>
    <w:rsid w:val="0014436B"/>
    <w:rsid w:val="001472C5"/>
    <w:rsid w:val="00150484"/>
    <w:rsid w:val="00152437"/>
    <w:rsid w:val="00154D48"/>
    <w:rsid w:val="001604BC"/>
    <w:rsid w:val="00161B37"/>
    <w:rsid w:val="0016255B"/>
    <w:rsid w:val="001634EA"/>
    <w:rsid w:val="00165084"/>
    <w:rsid w:val="001651D2"/>
    <w:rsid w:val="001661DC"/>
    <w:rsid w:val="00166490"/>
    <w:rsid w:val="00166D32"/>
    <w:rsid w:val="00170AB8"/>
    <w:rsid w:val="0017138A"/>
    <w:rsid w:val="00173947"/>
    <w:rsid w:val="00174F0F"/>
    <w:rsid w:val="00175144"/>
    <w:rsid w:val="00180E06"/>
    <w:rsid w:val="001838B0"/>
    <w:rsid w:val="001858CA"/>
    <w:rsid w:val="001867EB"/>
    <w:rsid w:val="001957FD"/>
    <w:rsid w:val="001A0281"/>
    <w:rsid w:val="001A1431"/>
    <w:rsid w:val="001A1437"/>
    <w:rsid w:val="001A1442"/>
    <w:rsid w:val="001A414D"/>
    <w:rsid w:val="001A430C"/>
    <w:rsid w:val="001A5171"/>
    <w:rsid w:val="001A575D"/>
    <w:rsid w:val="001A5914"/>
    <w:rsid w:val="001A6637"/>
    <w:rsid w:val="001A6927"/>
    <w:rsid w:val="001A6B4F"/>
    <w:rsid w:val="001B26C8"/>
    <w:rsid w:val="001B6306"/>
    <w:rsid w:val="001C1DC0"/>
    <w:rsid w:val="001C468D"/>
    <w:rsid w:val="001D04FC"/>
    <w:rsid w:val="001D12D1"/>
    <w:rsid w:val="001D58F1"/>
    <w:rsid w:val="001D5C3C"/>
    <w:rsid w:val="001D610D"/>
    <w:rsid w:val="001E1363"/>
    <w:rsid w:val="001E1606"/>
    <w:rsid w:val="001E274E"/>
    <w:rsid w:val="001E4F62"/>
    <w:rsid w:val="001E57B3"/>
    <w:rsid w:val="001E636F"/>
    <w:rsid w:val="001E711D"/>
    <w:rsid w:val="001E73D9"/>
    <w:rsid w:val="00201049"/>
    <w:rsid w:val="00202BC2"/>
    <w:rsid w:val="00206127"/>
    <w:rsid w:val="002075EB"/>
    <w:rsid w:val="00210BD5"/>
    <w:rsid w:val="00210D6E"/>
    <w:rsid w:val="00213A55"/>
    <w:rsid w:val="00213A66"/>
    <w:rsid w:val="0021549C"/>
    <w:rsid w:val="00215506"/>
    <w:rsid w:val="00215A41"/>
    <w:rsid w:val="00215E04"/>
    <w:rsid w:val="00231D2B"/>
    <w:rsid w:val="00232C69"/>
    <w:rsid w:val="0024068B"/>
    <w:rsid w:val="00242A58"/>
    <w:rsid w:val="002468D0"/>
    <w:rsid w:val="002471D7"/>
    <w:rsid w:val="0025025E"/>
    <w:rsid w:val="00255FB7"/>
    <w:rsid w:val="0025762C"/>
    <w:rsid w:val="0026007C"/>
    <w:rsid w:val="0026382E"/>
    <w:rsid w:val="002702F5"/>
    <w:rsid w:val="00275D98"/>
    <w:rsid w:val="0028329E"/>
    <w:rsid w:val="002849FE"/>
    <w:rsid w:val="00284D30"/>
    <w:rsid w:val="00286482"/>
    <w:rsid w:val="00286825"/>
    <w:rsid w:val="00287183"/>
    <w:rsid w:val="002905A2"/>
    <w:rsid w:val="0029087D"/>
    <w:rsid w:val="002A0314"/>
    <w:rsid w:val="002A052D"/>
    <w:rsid w:val="002B0C3E"/>
    <w:rsid w:val="002B2243"/>
    <w:rsid w:val="002B685C"/>
    <w:rsid w:val="002B754C"/>
    <w:rsid w:val="002B7D02"/>
    <w:rsid w:val="002C5412"/>
    <w:rsid w:val="002C6E8B"/>
    <w:rsid w:val="002C70BF"/>
    <w:rsid w:val="002D1C24"/>
    <w:rsid w:val="002D41C7"/>
    <w:rsid w:val="002D47C9"/>
    <w:rsid w:val="002D4997"/>
    <w:rsid w:val="002D770B"/>
    <w:rsid w:val="002E01D3"/>
    <w:rsid w:val="002E6098"/>
    <w:rsid w:val="002E60C4"/>
    <w:rsid w:val="002E61B7"/>
    <w:rsid w:val="002F34D4"/>
    <w:rsid w:val="002F69E3"/>
    <w:rsid w:val="003026BC"/>
    <w:rsid w:val="003075EF"/>
    <w:rsid w:val="003118ED"/>
    <w:rsid w:val="00311C1B"/>
    <w:rsid w:val="003123DF"/>
    <w:rsid w:val="003131D4"/>
    <w:rsid w:val="00313DDC"/>
    <w:rsid w:val="003252C4"/>
    <w:rsid w:val="0032538D"/>
    <w:rsid w:val="003256A4"/>
    <w:rsid w:val="003267F1"/>
    <w:rsid w:val="00327EBA"/>
    <w:rsid w:val="00331014"/>
    <w:rsid w:val="003312CD"/>
    <w:rsid w:val="00331423"/>
    <w:rsid w:val="00331B4E"/>
    <w:rsid w:val="003360B4"/>
    <w:rsid w:val="003449A0"/>
    <w:rsid w:val="003540B3"/>
    <w:rsid w:val="00356C08"/>
    <w:rsid w:val="00360747"/>
    <w:rsid w:val="00361A2A"/>
    <w:rsid w:val="00365099"/>
    <w:rsid w:val="0036525C"/>
    <w:rsid w:val="00366EDD"/>
    <w:rsid w:val="00371FA1"/>
    <w:rsid w:val="00372770"/>
    <w:rsid w:val="00373008"/>
    <w:rsid w:val="00375B64"/>
    <w:rsid w:val="00376565"/>
    <w:rsid w:val="003825C6"/>
    <w:rsid w:val="00384D0C"/>
    <w:rsid w:val="00390173"/>
    <w:rsid w:val="0039237E"/>
    <w:rsid w:val="003923E2"/>
    <w:rsid w:val="003935AE"/>
    <w:rsid w:val="00394D5C"/>
    <w:rsid w:val="00395535"/>
    <w:rsid w:val="00397038"/>
    <w:rsid w:val="00397537"/>
    <w:rsid w:val="003A0780"/>
    <w:rsid w:val="003A1FB1"/>
    <w:rsid w:val="003A38CC"/>
    <w:rsid w:val="003B0DD8"/>
    <w:rsid w:val="003B0FFC"/>
    <w:rsid w:val="003B3A7D"/>
    <w:rsid w:val="003B4FE3"/>
    <w:rsid w:val="003B5C17"/>
    <w:rsid w:val="003C002F"/>
    <w:rsid w:val="003C099F"/>
    <w:rsid w:val="003C0BEE"/>
    <w:rsid w:val="003C2532"/>
    <w:rsid w:val="003C4C4C"/>
    <w:rsid w:val="003D0E56"/>
    <w:rsid w:val="003D3ED2"/>
    <w:rsid w:val="003D4FCE"/>
    <w:rsid w:val="003D54E0"/>
    <w:rsid w:val="003D630C"/>
    <w:rsid w:val="003E0348"/>
    <w:rsid w:val="003E325E"/>
    <w:rsid w:val="003F3C20"/>
    <w:rsid w:val="003F4A77"/>
    <w:rsid w:val="003F7F42"/>
    <w:rsid w:val="00401D50"/>
    <w:rsid w:val="004024E2"/>
    <w:rsid w:val="00402DDB"/>
    <w:rsid w:val="004065AF"/>
    <w:rsid w:val="0041136C"/>
    <w:rsid w:val="00411628"/>
    <w:rsid w:val="00412655"/>
    <w:rsid w:val="00416865"/>
    <w:rsid w:val="00424E8E"/>
    <w:rsid w:val="004414ED"/>
    <w:rsid w:val="004432EA"/>
    <w:rsid w:val="004454B7"/>
    <w:rsid w:val="004455C8"/>
    <w:rsid w:val="004459DD"/>
    <w:rsid w:val="004460F8"/>
    <w:rsid w:val="00446880"/>
    <w:rsid w:val="00455600"/>
    <w:rsid w:val="0045571B"/>
    <w:rsid w:val="0045734B"/>
    <w:rsid w:val="00460A55"/>
    <w:rsid w:val="0046232D"/>
    <w:rsid w:val="00463C34"/>
    <w:rsid w:val="00465975"/>
    <w:rsid w:val="004679A7"/>
    <w:rsid w:val="004715C6"/>
    <w:rsid w:val="00471E10"/>
    <w:rsid w:val="00473914"/>
    <w:rsid w:val="0047463E"/>
    <w:rsid w:val="004810EC"/>
    <w:rsid w:val="004875D9"/>
    <w:rsid w:val="00487DA3"/>
    <w:rsid w:val="00494E6D"/>
    <w:rsid w:val="00497928"/>
    <w:rsid w:val="004A0ED2"/>
    <w:rsid w:val="004A4AEE"/>
    <w:rsid w:val="004A4DA0"/>
    <w:rsid w:val="004B0B15"/>
    <w:rsid w:val="004B3B7C"/>
    <w:rsid w:val="004B542D"/>
    <w:rsid w:val="004B5F90"/>
    <w:rsid w:val="004C00E0"/>
    <w:rsid w:val="004C1F5A"/>
    <w:rsid w:val="004C44C7"/>
    <w:rsid w:val="004C5DF9"/>
    <w:rsid w:val="004D43A3"/>
    <w:rsid w:val="004D6529"/>
    <w:rsid w:val="004E7C8A"/>
    <w:rsid w:val="004F1E55"/>
    <w:rsid w:val="004F652B"/>
    <w:rsid w:val="00500A80"/>
    <w:rsid w:val="00500B4D"/>
    <w:rsid w:val="00504B12"/>
    <w:rsid w:val="0051283B"/>
    <w:rsid w:val="00513D32"/>
    <w:rsid w:val="00515EFE"/>
    <w:rsid w:val="00516ABA"/>
    <w:rsid w:val="005209E8"/>
    <w:rsid w:val="00521479"/>
    <w:rsid w:val="00523677"/>
    <w:rsid w:val="00524E6D"/>
    <w:rsid w:val="00524EFA"/>
    <w:rsid w:val="0053134A"/>
    <w:rsid w:val="00531E5B"/>
    <w:rsid w:val="00532727"/>
    <w:rsid w:val="0053551E"/>
    <w:rsid w:val="005359AA"/>
    <w:rsid w:val="00544556"/>
    <w:rsid w:val="00546BF1"/>
    <w:rsid w:val="00546C92"/>
    <w:rsid w:val="00547237"/>
    <w:rsid w:val="00547570"/>
    <w:rsid w:val="00547D8C"/>
    <w:rsid w:val="005507DC"/>
    <w:rsid w:val="005512F4"/>
    <w:rsid w:val="00553142"/>
    <w:rsid w:val="005536B3"/>
    <w:rsid w:val="00553EFA"/>
    <w:rsid w:val="00554093"/>
    <w:rsid w:val="0055498C"/>
    <w:rsid w:val="00562C6E"/>
    <w:rsid w:val="00562F0C"/>
    <w:rsid w:val="00566229"/>
    <w:rsid w:val="00574291"/>
    <w:rsid w:val="005760B5"/>
    <w:rsid w:val="005811F0"/>
    <w:rsid w:val="00581D0F"/>
    <w:rsid w:val="00582DC6"/>
    <w:rsid w:val="005857AF"/>
    <w:rsid w:val="0059049A"/>
    <w:rsid w:val="00591A6C"/>
    <w:rsid w:val="00592F48"/>
    <w:rsid w:val="005936BC"/>
    <w:rsid w:val="00594811"/>
    <w:rsid w:val="005A0984"/>
    <w:rsid w:val="005A6602"/>
    <w:rsid w:val="005A71A3"/>
    <w:rsid w:val="005A796C"/>
    <w:rsid w:val="005A7980"/>
    <w:rsid w:val="005A7C7B"/>
    <w:rsid w:val="005B05DC"/>
    <w:rsid w:val="005B18FE"/>
    <w:rsid w:val="005B35C3"/>
    <w:rsid w:val="005B7B6F"/>
    <w:rsid w:val="005C0511"/>
    <w:rsid w:val="005C1855"/>
    <w:rsid w:val="005C1E16"/>
    <w:rsid w:val="005C36B4"/>
    <w:rsid w:val="005C3830"/>
    <w:rsid w:val="005C5480"/>
    <w:rsid w:val="005C6977"/>
    <w:rsid w:val="005C7882"/>
    <w:rsid w:val="005D278C"/>
    <w:rsid w:val="005D5C82"/>
    <w:rsid w:val="005D77C4"/>
    <w:rsid w:val="005E334A"/>
    <w:rsid w:val="005E66BF"/>
    <w:rsid w:val="005E6E9B"/>
    <w:rsid w:val="005E76EC"/>
    <w:rsid w:val="005F1114"/>
    <w:rsid w:val="005F11BC"/>
    <w:rsid w:val="005F15DC"/>
    <w:rsid w:val="005F1E1D"/>
    <w:rsid w:val="005F231E"/>
    <w:rsid w:val="005F4022"/>
    <w:rsid w:val="005F7D69"/>
    <w:rsid w:val="00603005"/>
    <w:rsid w:val="0060486B"/>
    <w:rsid w:val="0060788E"/>
    <w:rsid w:val="006112D2"/>
    <w:rsid w:val="00611530"/>
    <w:rsid w:val="006118C7"/>
    <w:rsid w:val="00614520"/>
    <w:rsid w:val="00614B57"/>
    <w:rsid w:val="006171BB"/>
    <w:rsid w:val="00624939"/>
    <w:rsid w:val="00624F37"/>
    <w:rsid w:val="00631487"/>
    <w:rsid w:val="0063167E"/>
    <w:rsid w:val="006321B4"/>
    <w:rsid w:val="00636EF3"/>
    <w:rsid w:val="00637E31"/>
    <w:rsid w:val="006418AD"/>
    <w:rsid w:val="006440ED"/>
    <w:rsid w:val="00650D85"/>
    <w:rsid w:val="00652165"/>
    <w:rsid w:val="0065374F"/>
    <w:rsid w:val="00661AE3"/>
    <w:rsid w:val="006641FD"/>
    <w:rsid w:val="00665886"/>
    <w:rsid w:val="00665906"/>
    <w:rsid w:val="00665C71"/>
    <w:rsid w:val="0066637A"/>
    <w:rsid w:val="006668C1"/>
    <w:rsid w:val="00670F95"/>
    <w:rsid w:val="00672297"/>
    <w:rsid w:val="00676702"/>
    <w:rsid w:val="0068070D"/>
    <w:rsid w:val="00682686"/>
    <w:rsid w:val="006835D9"/>
    <w:rsid w:val="00683EC0"/>
    <w:rsid w:val="006920F6"/>
    <w:rsid w:val="006A3480"/>
    <w:rsid w:val="006A36B7"/>
    <w:rsid w:val="006A3AD4"/>
    <w:rsid w:val="006A7AB7"/>
    <w:rsid w:val="006B0800"/>
    <w:rsid w:val="006B1AD9"/>
    <w:rsid w:val="006B3FDF"/>
    <w:rsid w:val="006B437A"/>
    <w:rsid w:val="006B4543"/>
    <w:rsid w:val="006B6DF5"/>
    <w:rsid w:val="006B768D"/>
    <w:rsid w:val="006D1B48"/>
    <w:rsid w:val="006D5C55"/>
    <w:rsid w:val="006E1AC4"/>
    <w:rsid w:val="006E1F03"/>
    <w:rsid w:val="006E4498"/>
    <w:rsid w:val="006F08BC"/>
    <w:rsid w:val="006F1F46"/>
    <w:rsid w:val="006F28B1"/>
    <w:rsid w:val="006F2A0C"/>
    <w:rsid w:val="006F31E2"/>
    <w:rsid w:val="006F73A7"/>
    <w:rsid w:val="00701F59"/>
    <w:rsid w:val="00704CD4"/>
    <w:rsid w:val="00705506"/>
    <w:rsid w:val="00710B34"/>
    <w:rsid w:val="00715AED"/>
    <w:rsid w:val="00721CC6"/>
    <w:rsid w:val="00721F7E"/>
    <w:rsid w:val="00724B9B"/>
    <w:rsid w:val="00724C82"/>
    <w:rsid w:val="00725566"/>
    <w:rsid w:val="00725675"/>
    <w:rsid w:val="00725EFA"/>
    <w:rsid w:val="00727859"/>
    <w:rsid w:val="00730EB9"/>
    <w:rsid w:val="00731112"/>
    <w:rsid w:val="0073218C"/>
    <w:rsid w:val="00732A3B"/>
    <w:rsid w:val="00732BA8"/>
    <w:rsid w:val="007341CF"/>
    <w:rsid w:val="0073516E"/>
    <w:rsid w:val="00735318"/>
    <w:rsid w:val="00735A25"/>
    <w:rsid w:val="00737621"/>
    <w:rsid w:val="00741D64"/>
    <w:rsid w:val="007429C2"/>
    <w:rsid w:val="00746228"/>
    <w:rsid w:val="0074679D"/>
    <w:rsid w:val="00746D77"/>
    <w:rsid w:val="0075042B"/>
    <w:rsid w:val="00753768"/>
    <w:rsid w:val="00756044"/>
    <w:rsid w:val="0075630D"/>
    <w:rsid w:val="00756F97"/>
    <w:rsid w:val="0075727D"/>
    <w:rsid w:val="007603C5"/>
    <w:rsid w:val="0076263F"/>
    <w:rsid w:val="0076334E"/>
    <w:rsid w:val="007647E8"/>
    <w:rsid w:val="00770DEE"/>
    <w:rsid w:val="00771A42"/>
    <w:rsid w:val="00775631"/>
    <w:rsid w:val="00780FAB"/>
    <w:rsid w:val="0078117B"/>
    <w:rsid w:val="00784B97"/>
    <w:rsid w:val="00790FFA"/>
    <w:rsid w:val="00791840"/>
    <w:rsid w:val="007A2714"/>
    <w:rsid w:val="007A5CD2"/>
    <w:rsid w:val="007A7C1D"/>
    <w:rsid w:val="007A7EFC"/>
    <w:rsid w:val="007B01D3"/>
    <w:rsid w:val="007B09D4"/>
    <w:rsid w:val="007B3E70"/>
    <w:rsid w:val="007B51C0"/>
    <w:rsid w:val="007B6559"/>
    <w:rsid w:val="007C0223"/>
    <w:rsid w:val="007C46AF"/>
    <w:rsid w:val="007D3209"/>
    <w:rsid w:val="007D43AD"/>
    <w:rsid w:val="007D4A00"/>
    <w:rsid w:val="007D4CC0"/>
    <w:rsid w:val="007D76C7"/>
    <w:rsid w:val="007E2422"/>
    <w:rsid w:val="007E5666"/>
    <w:rsid w:val="007F0B8D"/>
    <w:rsid w:val="007F1A99"/>
    <w:rsid w:val="007F5504"/>
    <w:rsid w:val="007F5C0F"/>
    <w:rsid w:val="007F7F47"/>
    <w:rsid w:val="008010E1"/>
    <w:rsid w:val="00807C6F"/>
    <w:rsid w:val="00807E8D"/>
    <w:rsid w:val="008101BE"/>
    <w:rsid w:val="00810A7A"/>
    <w:rsid w:val="00811356"/>
    <w:rsid w:val="0081459E"/>
    <w:rsid w:val="0081482E"/>
    <w:rsid w:val="00816838"/>
    <w:rsid w:val="00816DDB"/>
    <w:rsid w:val="008223F5"/>
    <w:rsid w:val="008224EB"/>
    <w:rsid w:val="008236E2"/>
    <w:rsid w:val="008276BD"/>
    <w:rsid w:val="00840F94"/>
    <w:rsid w:val="00841048"/>
    <w:rsid w:val="008424B1"/>
    <w:rsid w:val="00850020"/>
    <w:rsid w:val="00852F05"/>
    <w:rsid w:val="008601FB"/>
    <w:rsid w:val="00860948"/>
    <w:rsid w:val="00863F18"/>
    <w:rsid w:val="008651EF"/>
    <w:rsid w:val="00865ED3"/>
    <w:rsid w:val="0087125E"/>
    <w:rsid w:val="008748F2"/>
    <w:rsid w:val="008807D2"/>
    <w:rsid w:val="00881653"/>
    <w:rsid w:val="00881A78"/>
    <w:rsid w:val="008820F5"/>
    <w:rsid w:val="008856EE"/>
    <w:rsid w:val="00890219"/>
    <w:rsid w:val="008913DD"/>
    <w:rsid w:val="0089301C"/>
    <w:rsid w:val="00893EA8"/>
    <w:rsid w:val="008A1990"/>
    <w:rsid w:val="008A3613"/>
    <w:rsid w:val="008A3974"/>
    <w:rsid w:val="008A3E71"/>
    <w:rsid w:val="008A3FF7"/>
    <w:rsid w:val="008A656A"/>
    <w:rsid w:val="008B2C11"/>
    <w:rsid w:val="008B2F31"/>
    <w:rsid w:val="008B4F07"/>
    <w:rsid w:val="008C1789"/>
    <w:rsid w:val="008C40D2"/>
    <w:rsid w:val="008C7DCF"/>
    <w:rsid w:val="008D03BB"/>
    <w:rsid w:val="008D12ED"/>
    <w:rsid w:val="008D3CC6"/>
    <w:rsid w:val="008D5182"/>
    <w:rsid w:val="008D6F44"/>
    <w:rsid w:val="008D729E"/>
    <w:rsid w:val="008E0AA1"/>
    <w:rsid w:val="008E4765"/>
    <w:rsid w:val="008E5459"/>
    <w:rsid w:val="008E5C27"/>
    <w:rsid w:val="008E5E76"/>
    <w:rsid w:val="008E5F5F"/>
    <w:rsid w:val="008E69A6"/>
    <w:rsid w:val="008F0F30"/>
    <w:rsid w:val="008F18A7"/>
    <w:rsid w:val="008F3A90"/>
    <w:rsid w:val="008F75A1"/>
    <w:rsid w:val="00900835"/>
    <w:rsid w:val="0090124F"/>
    <w:rsid w:val="00903465"/>
    <w:rsid w:val="00903A76"/>
    <w:rsid w:val="00904CBE"/>
    <w:rsid w:val="00907B9A"/>
    <w:rsid w:val="009111EB"/>
    <w:rsid w:val="00912BB7"/>
    <w:rsid w:val="0091442D"/>
    <w:rsid w:val="00915DF7"/>
    <w:rsid w:val="0091664B"/>
    <w:rsid w:val="00921637"/>
    <w:rsid w:val="009233A1"/>
    <w:rsid w:val="00926072"/>
    <w:rsid w:val="00926BB3"/>
    <w:rsid w:val="00927DFB"/>
    <w:rsid w:val="00930262"/>
    <w:rsid w:val="0093261B"/>
    <w:rsid w:val="009334A3"/>
    <w:rsid w:val="00937ED5"/>
    <w:rsid w:val="00945C98"/>
    <w:rsid w:val="009460AC"/>
    <w:rsid w:val="0094701C"/>
    <w:rsid w:val="009470A4"/>
    <w:rsid w:val="0095425C"/>
    <w:rsid w:val="00955705"/>
    <w:rsid w:val="009561E9"/>
    <w:rsid w:val="00956CF6"/>
    <w:rsid w:val="00956D90"/>
    <w:rsid w:val="00965009"/>
    <w:rsid w:val="00967B97"/>
    <w:rsid w:val="00970140"/>
    <w:rsid w:val="009734C8"/>
    <w:rsid w:val="00975780"/>
    <w:rsid w:val="009765CD"/>
    <w:rsid w:val="00981D06"/>
    <w:rsid w:val="00983B3C"/>
    <w:rsid w:val="0098600C"/>
    <w:rsid w:val="00993683"/>
    <w:rsid w:val="00996FF2"/>
    <w:rsid w:val="009A1CA7"/>
    <w:rsid w:val="009A5271"/>
    <w:rsid w:val="009A7C20"/>
    <w:rsid w:val="009B0413"/>
    <w:rsid w:val="009B0456"/>
    <w:rsid w:val="009B0BC8"/>
    <w:rsid w:val="009B10DB"/>
    <w:rsid w:val="009B1C5A"/>
    <w:rsid w:val="009B3AF9"/>
    <w:rsid w:val="009B4D22"/>
    <w:rsid w:val="009B5623"/>
    <w:rsid w:val="009B5B91"/>
    <w:rsid w:val="009B7234"/>
    <w:rsid w:val="009C235D"/>
    <w:rsid w:val="009C3856"/>
    <w:rsid w:val="009C55B3"/>
    <w:rsid w:val="009C64DC"/>
    <w:rsid w:val="009D0F4C"/>
    <w:rsid w:val="009D10F7"/>
    <w:rsid w:val="009D51C0"/>
    <w:rsid w:val="009D7AC0"/>
    <w:rsid w:val="009E139C"/>
    <w:rsid w:val="009E4778"/>
    <w:rsid w:val="009E4B44"/>
    <w:rsid w:val="009E77C8"/>
    <w:rsid w:val="009F0604"/>
    <w:rsid w:val="009F301B"/>
    <w:rsid w:val="009F5EE9"/>
    <w:rsid w:val="009F6CA2"/>
    <w:rsid w:val="00A074AA"/>
    <w:rsid w:val="00A112D3"/>
    <w:rsid w:val="00A12886"/>
    <w:rsid w:val="00A16D1B"/>
    <w:rsid w:val="00A226DA"/>
    <w:rsid w:val="00A2444D"/>
    <w:rsid w:val="00A26B72"/>
    <w:rsid w:val="00A27C2C"/>
    <w:rsid w:val="00A30159"/>
    <w:rsid w:val="00A3231F"/>
    <w:rsid w:val="00A37CB5"/>
    <w:rsid w:val="00A409BB"/>
    <w:rsid w:val="00A40F39"/>
    <w:rsid w:val="00A430CF"/>
    <w:rsid w:val="00A43B8E"/>
    <w:rsid w:val="00A44AE3"/>
    <w:rsid w:val="00A45761"/>
    <w:rsid w:val="00A47AA7"/>
    <w:rsid w:val="00A517ED"/>
    <w:rsid w:val="00A540A4"/>
    <w:rsid w:val="00A57C24"/>
    <w:rsid w:val="00A62F08"/>
    <w:rsid w:val="00A63691"/>
    <w:rsid w:val="00A6400E"/>
    <w:rsid w:val="00A64B14"/>
    <w:rsid w:val="00A66C17"/>
    <w:rsid w:val="00A73F7E"/>
    <w:rsid w:val="00A7551E"/>
    <w:rsid w:val="00A8029F"/>
    <w:rsid w:val="00A80449"/>
    <w:rsid w:val="00A8200D"/>
    <w:rsid w:val="00A82D03"/>
    <w:rsid w:val="00A85B64"/>
    <w:rsid w:val="00A97B08"/>
    <w:rsid w:val="00A97B33"/>
    <w:rsid w:val="00AA1CC6"/>
    <w:rsid w:val="00AA310C"/>
    <w:rsid w:val="00AA4D92"/>
    <w:rsid w:val="00AA607A"/>
    <w:rsid w:val="00AA6693"/>
    <w:rsid w:val="00AA79A3"/>
    <w:rsid w:val="00AB4477"/>
    <w:rsid w:val="00AB5DED"/>
    <w:rsid w:val="00AB7685"/>
    <w:rsid w:val="00AB7ED3"/>
    <w:rsid w:val="00AC291B"/>
    <w:rsid w:val="00AC2A4E"/>
    <w:rsid w:val="00AC56D0"/>
    <w:rsid w:val="00AC6C5D"/>
    <w:rsid w:val="00AC7992"/>
    <w:rsid w:val="00AD1D0C"/>
    <w:rsid w:val="00AD2A16"/>
    <w:rsid w:val="00AD50AC"/>
    <w:rsid w:val="00AD5D6A"/>
    <w:rsid w:val="00AD6584"/>
    <w:rsid w:val="00AE2A44"/>
    <w:rsid w:val="00AE464C"/>
    <w:rsid w:val="00AE4B26"/>
    <w:rsid w:val="00AE57BB"/>
    <w:rsid w:val="00AE5FD4"/>
    <w:rsid w:val="00AF1EDB"/>
    <w:rsid w:val="00AF6AF9"/>
    <w:rsid w:val="00AF6F0C"/>
    <w:rsid w:val="00AF7EE3"/>
    <w:rsid w:val="00B1015C"/>
    <w:rsid w:val="00B10E3C"/>
    <w:rsid w:val="00B1647C"/>
    <w:rsid w:val="00B22A0E"/>
    <w:rsid w:val="00B25DBA"/>
    <w:rsid w:val="00B27B6A"/>
    <w:rsid w:val="00B34593"/>
    <w:rsid w:val="00B3776B"/>
    <w:rsid w:val="00B37E54"/>
    <w:rsid w:val="00B40BA1"/>
    <w:rsid w:val="00B41076"/>
    <w:rsid w:val="00B425E9"/>
    <w:rsid w:val="00B4342D"/>
    <w:rsid w:val="00B45797"/>
    <w:rsid w:val="00B5136A"/>
    <w:rsid w:val="00B52A03"/>
    <w:rsid w:val="00B5614C"/>
    <w:rsid w:val="00B57F13"/>
    <w:rsid w:val="00B60BE7"/>
    <w:rsid w:val="00B61F81"/>
    <w:rsid w:val="00B628B9"/>
    <w:rsid w:val="00B62C62"/>
    <w:rsid w:val="00B668CF"/>
    <w:rsid w:val="00B67CA3"/>
    <w:rsid w:val="00B8121F"/>
    <w:rsid w:val="00B81308"/>
    <w:rsid w:val="00B82687"/>
    <w:rsid w:val="00B84755"/>
    <w:rsid w:val="00B86793"/>
    <w:rsid w:val="00B86FDB"/>
    <w:rsid w:val="00B8727E"/>
    <w:rsid w:val="00B873C2"/>
    <w:rsid w:val="00B932FF"/>
    <w:rsid w:val="00BA1215"/>
    <w:rsid w:val="00BA1250"/>
    <w:rsid w:val="00BA28A1"/>
    <w:rsid w:val="00BA6F10"/>
    <w:rsid w:val="00BA710C"/>
    <w:rsid w:val="00BA7724"/>
    <w:rsid w:val="00BB46A8"/>
    <w:rsid w:val="00BB5A38"/>
    <w:rsid w:val="00BB5D86"/>
    <w:rsid w:val="00BC0A1B"/>
    <w:rsid w:val="00BC2BDF"/>
    <w:rsid w:val="00BC33B2"/>
    <w:rsid w:val="00BC6E69"/>
    <w:rsid w:val="00BC73BA"/>
    <w:rsid w:val="00BD0829"/>
    <w:rsid w:val="00BD18F4"/>
    <w:rsid w:val="00BD2888"/>
    <w:rsid w:val="00BF3046"/>
    <w:rsid w:val="00BF5E0F"/>
    <w:rsid w:val="00C0248E"/>
    <w:rsid w:val="00C02EAF"/>
    <w:rsid w:val="00C05AA1"/>
    <w:rsid w:val="00C13F05"/>
    <w:rsid w:val="00C14F03"/>
    <w:rsid w:val="00C21829"/>
    <w:rsid w:val="00C22F0D"/>
    <w:rsid w:val="00C24AA4"/>
    <w:rsid w:val="00C269F8"/>
    <w:rsid w:val="00C3374D"/>
    <w:rsid w:val="00C3649C"/>
    <w:rsid w:val="00C41C30"/>
    <w:rsid w:val="00C424F6"/>
    <w:rsid w:val="00C44703"/>
    <w:rsid w:val="00C455B4"/>
    <w:rsid w:val="00C46A83"/>
    <w:rsid w:val="00C476CF"/>
    <w:rsid w:val="00C518AF"/>
    <w:rsid w:val="00C61645"/>
    <w:rsid w:val="00C61F73"/>
    <w:rsid w:val="00C6338A"/>
    <w:rsid w:val="00C63C01"/>
    <w:rsid w:val="00C640BA"/>
    <w:rsid w:val="00C65290"/>
    <w:rsid w:val="00C666ED"/>
    <w:rsid w:val="00C73B47"/>
    <w:rsid w:val="00C753E1"/>
    <w:rsid w:val="00C75E17"/>
    <w:rsid w:val="00C763E2"/>
    <w:rsid w:val="00C76C7E"/>
    <w:rsid w:val="00C8219F"/>
    <w:rsid w:val="00C825E0"/>
    <w:rsid w:val="00C863E9"/>
    <w:rsid w:val="00C913C9"/>
    <w:rsid w:val="00C91BBE"/>
    <w:rsid w:val="00C92CDF"/>
    <w:rsid w:val="00C97FAE"/>
    <w:rsid w:val="00CA54F3"/>
    <w:rsid w:val="00CA7EDA"/>
    <w:rsid w:val="00CB0195"/>
    <w:rsid w:val="00CB11B4"/>
    <w:rsid w:val="00CB37D3"/>
    <w:rsid w:val="00CB648F"/>
    <w:rsid w:val="00CC02BB"/>
    <w:rsid w:val="00CC14C6"/>
    <w:rsid w:val="00CC1E67"/>
    <w:rsid w:val="00CC55B9"/>
    <w:rsid w:val="00CC5ECB"/>
    <w:rsid w:val="00CD12B9"/>
    <w:rsid w:val="00CD1BBE"/>
    <w:rsid w:val="00CD3C5C"/>
    <w:rsid w:val="00CD474E"/>
    <w:rsid w:val="00CD6953"/>
    <w:rsid w:val="00CD7C0B"/>
    <w:rsid w:val="00CE1429"/>
    <w:rsid w:val="00CE3161"/>
    <w:rsid w:val="00CE6563"/>
    <w:rsid w:val="00CF0125"/>
    <w:rsid w:val="00CF0F0A"/>
    <w:rsid w:val="00CF6015"/>
    <w:rsid w:val="00D148CC"/>
    <w:rsid w:val="00D15070"/>
    <w:rsid w:val="00D236F0"/>
    <w:rsid w:val="00D244AD"/>
    <w:rsid w:val="00D27069"/>
    <w:rsid w:val="00D3169B"/>
    <w:rsid w:val="00D31B14"/>
    <w:rsid w:val="00D33266"/>
    <w:rsid w:val="00D3503E"/>
    <w:rsid w:val="00D35273"/>
    <w:rsid w:val="00D372F8"/>
    <w:rsid w:val="00D378F8"/>
    <w:rsid w:val="00D407BC"/>
    <w:rsid w:val="00D4502E"/>
    <w:rsid w:val="00D45B96"/>
    <w:rsid w:val="00D4684F"/>
    <w:rsid w:val="00D46BF5"/>
    <w:rsid w:val="00D55CF6"/>
    <w:rsid w:val="00D6349C"/>
    <w:rsid w:val="00D637D1"/>
    <w:rsid w:val="00D63E8A"/>
    <w:rsid w:val="00D64A5C"/>
    <w:rsid w:val="00D653FB"/>
    <w:rsid w:val="00D655ED"/>
    <w:rsid w:val="00D66813"/>
    <w:rsid w:val="00D75BD2"/>
    <w:rsid w:val="00D777BD"/>
    <w:rsid w:val="00D80ACA"/>
    <w:rsid w:val="00D81873"/>
    <w:rsid w:val="00D82C5E"/>
    <w:rsid w:val="00D83278"/>
    <w:rsid w:val="00D85C21"/>
    <w:rsid w:val="00D87394"/>
    <w:rsid w:val="00D905DA"/>
    <w:rsid w:val="00D921F6"/>
    <w:rsid w:val="00D94BE6"/>
    <w:rsid w:val="00D9726E"/>
    <w:rsid w:val="00D97341"/>
    <w:rsid w:val="00D976DA"/>
    <w:rsid w:val="00DA18EA"/>
    <w:rsid w:val="00DA1BC9"/>
    <w:rsid w:val="00DA4870"/>
    <w:rsid w:val="00DB0C15"/>
    <w:rsid w:val="00DB6084"/>
    <w:rsid w:val="00DB7149"/>
    <w:rsid w:val="00DC03CC"/>
    <w:rsid w:val="00DC6042"/>
    <w:rsid w:val="00DC7CFD"/>
    <w:rsid w:val="00DD1512"/>
    <w:rsid w:val="00DD29DF"/>
    <w:rsid w:val="00DE4DE0"/>
    <w:rsid w:val="00DE571E"/>
    <w:rsid w:val="00DF01EE"/>
    <w:rsid w:val="00DF236B"/>
    <w:rsid w:val="00DF3133"/>
    <w:rsid w:val="00DF32B7"/>
    <w:rsid w:val="00DF4B95"/>
    <w:rsid w:val="00DF7CB6"/>
    <w:rsid w:val="00E00468"/>
    <w:rsid w:val="00E007A0"/>
    <w:rsid w:val="00E050EF"/>
    <w:rsid w:val="00E10086"/>
    <w:rsid w:val="00E10B0E"/>
    <w:rsid w:val="00E11C1E"/>
    <w:rsid w:val="00E14A8F"/>
    <w:rsid w:val="00E152B6"/>
    <w:rsid w:val="00E27133"/>
    <w:rsid w:val="00E272B5"/>
    <w:rsid w:val="00E3025F"/>
    <w:rsid w:val="00E40A44"/>
    <w:rsid w:val="00E411A0"/>
    <w:rsid w:val="00E4305D"/>
    <w:rsid w:val="00E4543F"/>
    <w:rsid w:val="00E4660D"/>
    <w:rsid w:val="00E506B3"/>
    <w:rsid w:val="00E53585"/>
    <w:rsid w:val="00E5748A"/>
    <w:rsid w:val="00E57D80"/>
    <w:rsid w:val="00E65C85"/>
    <w:rsid w:val="00E72745"/>
    <w:rsid w:val="00E7638A"/>
    <w:rsid w:val="00E77C9A"/>
    <w:rsid w:val="00E84653"/>
    <w:rsid w:val="00E85808"/>
    <w:rsid w:val="00E90C7B"/>
    <w:rsid w:val="00E918F2"/>
    <w:rsid w:val="00E91A35"/>
    <w:rsid w:val="00EA2275"/>
    <w:rsid w:val="00EA2F20"/>
    <w:rsid w:val="00EA358A"/>
    <w:rsid w:val="00EA7DC3"/>
    <w:rsid w:val="00EB2056"/>
    <w:rsid w:val="00EB27B3"/>
    <w:rsid w:val="00EB27F6"/>
    <w:rsid w:val="00EB6FE1"/>
    <w:rsid w:val="00EB78C4"/>
    <w:rsid w:val="00EC08A0"/>
    <w:rsid w:val="00EC5811"/>
    <w:rsid w:val="00ED019E"/>
    <w:rsid w:val="00ED0A69"/>
    <w:rsid w:val="00ED0D7A"/>
    <w:rsid w:val="00ED118B"/>
    <w:rsid w:val="00ED3367"/>
    <w:rsid w:val="00ED5B77"/>
    <w:rsid w:val="00ED6783"/>
    <w:rsid w:val="00ED6859"/>
    <w:rsid w:val="00ED6E2E"/>
    <w:rsid w:val="00ED733A"/>
    <w:rsid w:val="00EE1101"/>
    <w:rsid w:val="00EE3A86"/>
    <w:rsid w:val="00EE3A95"/>
    <w:rsid w:val="00EE3C76"/>
    <w:rsid w:val="00EE3E89"/>
    <w:rsid w:val="00EF1231"/>
    <w:rsid w:val="00EF68F9"/>
    <w:rsid w:val="00F009FB"/>
    <w:rsid w:val="00F0618B"/>
    <w:rsid w:val="00F06D4C"/>
    <w:rsid w:val="00F10B83"/>
    <w:rsid w:val="00F12BB1"/>
    <w:rsid w:val="00F14CC0"/>
    <w:rsid w:val="00F20C87"/>
    <w:rsid w:val="00F237B1"/>
    <w:rsid w:val="00F240C0"/>
    <w:rsid w:val="00F30303"/>
    <w:rsid w:val="00F3074D"/>
    <w:rsid w:val="00F37F84"/>
    <w:rsid w:val="00F41D28"/>
    <w:rsid w:val="00F427BB"/>
    <w:rsid w:val="00F504ED"/>
    <w:rsid w:val="00F50FFD"/>
    <w:rsid w:val="00F514ED"/>
    <w:rsid w:val="00F53B4E"/>
    <w:rsid w:val="00F55914"/>
    <w:rsid w:val="00F57C23"/>
    <w:rsid w:val="00F605FA"/>
    <w:rsid w:val="00F60693"/>
    <w:rsid w:val="00F61A1C"/>
    <w:rsid w:val="00F62B7B"/>
    <w:rsid w:val="00F64E9E"/>
    <w:rsid w:val="00F656A9"/>
    <w:rsid w:val="00F658CF"/>
    <w:rsid w:val="00F67529"/>
    <w:rsid w:val="00F67EC1"/>
    <w:rsid w:val="00F70487"/>
    <w:rsid w:val="00F71A35"/>
    <w:rsid w:val="00F755A0"/>
    <w:rsid w:val="00F760D2"/>
    <w:rsid w:val="00F77E05"/>
    <w:rsid w:val="00F84155"/>
    <w:rsid w:val="00F90092"/>
    <w:rsid w:val="00F9088D"/>
    <w:rsid w:val="00F90A67"/>
    <w:rsid w:val="00F922BF"/>
    <w:rsid w:val="00F93C12"/>
    <w:rsid w:val="00F950DF"/>
    <w:rsid w:val="00FA3C72"/>
    <w:rsid w:val="00FA50AF"/>
    <w:rsid w:val="00FA5FF0"/>
    <w:rsid w:val="00FB0A5B"/>
    <w:rsid w:val="00FB139C"/>
    <w:rsid w:val="00FC0DEE"/>
    <w:rsid w:val="00FC1AE3"/>
    <w:rsid w:val="00FC2E7D"/>
    <w:rsid w:val="00FD0FE1"/>
    <w:rsid w:val="00FD168A"/>
    <w:rsid w:val="00FD2125"/>
    <w:rsid w:val="00FD2C3B"/>
    <w:rsid w:val="00FD44DC"/>
    <w:rsid w:val="00FD595C"/>
    <w:rsid w:val="00FD6869"/>
    <w:rsid w:val="00FE20F4"/>
    <w:rsid w:val="00FE21D6"/>
    <w:rsid w:val="00FE420F"/>
    <w:rsid w:val="00FE6271"/>
    <w:rsid w:val="00FF00EC"/>
    <w:rsid w:val="00FF12BA"/>
    <w:rsid w:val="00FF18F4"/>
    <w:rsid w:val="00FF1ED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D4502E"/>
    <w:rPr>
      <w:rFonts w:eastAsia="ヒラギノ角ゴ Pro W3"/>
      <w:color w:val="000000"/>
      <w:sz w:val="24"/>
      <w:szCs w:val="24"/>
      <w:lang w:eastAsia="en-US"/>
    </w:rPr>
  </w:style>
  <w:style w:type="paragraph" w:styleId="Heading1">
    <w:name w:val="heading 1"/>
    <w:basedOn w:val="Normal"/>
    <w:next w:val="Normal"/>
    <w:link w:val="Heading1Char"/>
    <w:qFormat/>
    <w:locked/>
    <w:rsid w:val="00D4502E"/>
    <w:pPr>
      <w:keepNext/>
      <w:keepLines/>
      <w:spacing w:before="480"/>
      <w:outlineLvl w:val="0"/>
    </w:pPr>
    <w:rPr>
      <w:rFonts w:asciiTheme="majorHAnsi" w:eastAsiaTheme="majorEastAsia" w:hAnsiTheme="majorHAnsi" w:cstheme="majorBidi"/>
      <w:b/>
      <w:bCs/>
      <w:color w:val="4A442A" w:themeColor="background2" w:themeShade="40"/>
      <w:sz w:val="32"/>
      <w:szCs w:val="32"/>
    </w:rPr>
  </w:style>
  <w:style w:type="paragraph" w:styleId="Heading2">
    <w:name w:val="heading 2"/>
    <w:basedOn w:val="Normal"/>
    <w:next w:val="Normal"/>
    <w:link w:val="Heading2Char"/>
    <w:unhideWhenUsed/>
    <w:qFormat/>
    <w:locked/>
    <w:rsid w:val="00D450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D4502E"/>
    <w:pPr>
      <w:widowControl w:val="0"/>
      <w:autoSpaceDE w:val="0"/>
      <w:autoSpaceDN w:val="0"/>
      <w:adjustRightInd w:val="0"/>
      <w:spacing w:before="240"/>
      <w:outlineLvl w:val="2"/>
    </w:pPr>
    <w:rPr>
      <w:rFonts w:asciiTheme="majorHAnsi" w:eastAsiaTheme="minorEastAsia" w:hAnsiTheme="majorHAnsi" w:cstheme="minorBidi"/>
      <w:b/>
      <w:color w:val="4A442A" w:themeColor="background2" w:themeShade="40"/>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Calibri" w:eastAsia="ヒラギノ角ゴ Pro W3" w:hAnsi="Calibri"/>
      <w:color w:val="000000"/>
      <w:sz w:val="22"/>
    </w:rPr>
  </w:style>
  <w:style w:type="paragraph" w:customStyle="1" w:styleId="Footer1">
    <w:name w:val="Footer1"/>
    <w:pPr>
      <w:tabs>
        <w:tab w:val="center" w:pos="4513"/>
        <w:tab w:val="right" w:pos="9026"/>
      </w:tabs>
    </w:pPr>
    <w:rPr>
      <w:rFonts w:eastAsia="ヒラギノ角ゴ Pro W3"/>
      <w:color w:val="000000"/>
      <w:sz w:val="24"/>
    </w:rPr>
  </w:style>
  <w:style w:type="paragraph" w:customStyle="1" w:styleId="NormalWeb1">
    <w:name w:val="Normal (Web)1"/>
    <w:autoRedefine/>
    <w:rsid w:val="00883411"/>
    <w:pPr>
      <w:spacing w:before="100" w:after="100"/>
    </w:pPr>
    <w:rPr>
      <w:rFonts w:ascii="Calibri" w:eastAsia="ヒラギノ角ゴ Pro W3" w:hAnsi="Calibri" w:cs="Calibri"/>
      <w:color w:val="000000"/>
      <w:sz w:val="24"/>
      <w:szCs w:val="24"/>
    </w:rPr>
  </w:style>
  <w:style w:type="paragraph" w:customStyle="1" w:styleId="style5">
    <w:name w:val="style5"/>
    <w:pPr>
      <w:spacing w:before="100" w:after="100"/>
    </w:pPr>
    <w:rPr>
      <w:rFonts w:eastAsia="ヒラギノ角ゴ Pro W3"/>
      <w:color w:val="000000"/>
      <w:sz w:val="24"/>
    </w:rPr>
  </w:style>
  <w:style w:type="numbering" w:customStyle="1" w:styleId="List1">
    <w:name w:val="List 1"/>
    <w:autoRedefine/>
  </w:style>
  <w:style w:type="numbering" w:customStyle="1" w:styleId="List21">
    <w:name w:val="List 21"/>
  </w:style>
  <w:style w:type="character" w:customStyle="1" w:styleId="FootnoteReference1">
    <w:name w:val="Footnote Reference1"/>
    <w:rPr>
      <w:color w:val="000000"/>
      <w:sz w:val="22"/>
      <w:vertAlign w:val="superscript"/>
    </w:rPr>
  </w:style>
  <w:style w:type="paragraph" w:customStyle="1" w:styleId="FootnoteText1">
    <w:name w:val="Footnote Text1"/>
    <w:rPr>
      <w:rFonts w:eastAsia="ヒラギノ角ゴ Pro W3"/>
      <w:color w:val="000000"/>
    </w:rPr>
  </w:style>
  <w:style w:type="paragraph" w:customStyle="1" w:styleId="ColorfulList-Accent11">
    <w:name w:val="Colorful List - Accent 11"/>
    <w:uiPriority w:val="34"/>
    <w:qFormat/>
    <w:rsid w:val="00D4502E"/>
    <w:pPr>
      <w:spacing w:after="200" w:line="276" w:lineRule="auto"/>
      <w:ind w:left="720"/>
    </w:pPr>
    <w:rPr>
      <w:rFonts w:ascii="Calibri" w:eastAsia="ヒラギノ角ゴ Pro W3" w:hAnsi="Calibri"/>
      <w:color w:val="000000"/>
      <w:sz w:val="22"/>
      <w:lang w:val="en-US"/>
    </w:rPr>
  </w:style>
  <w:style w:type="paragraph" w:customStyle="1" w:styleId="Default">
    <w:name w:val="Default"/>
    <w:rPr>
      <w:rFonts w:ascii="Calibri" w:eastAsia="ヒラギノ角ゴ Pro W3" w:hAnsi="Calibri"/>
      <w:color w:val="000000"/>
      <w:sz w:val="24"/>
    </w:rPr>
  </w:style>
  <w:style w:type="paragraph" w:customStyle="1" w:styleId="BodyA">
    <w:name w:val="Body A"/>
    <w:pPr>
      <w:jc w:val="both"/>
    </w:pPr>
    <w:rPr>
      <w:rFonts w:ascii="Constantia" w:eastAsia="ヒラギノ角ゴ Pro W3" w:hAnsi="Constantia"/>
      <w:color w:val="000000"/>
      <w:sz w:val="22"/>
    </w:rPr>
  </w:style>
  <w:style w:type="paragraph" w:customStyle="1" w:styleId="EndnoteText1">
    <w:name w:val="Endnote Text1"/>
    <w:rPr>
      <w:rFonts w:ascii="Calibri" w:eastAsia="ヒラギノ角ゴ Pro W3" w:hAnsi="Calibri"/>
      <w:color w:val="000000"/>
    </w:rPr>
  </w:style>
  <w:style w:type="paragraph" w:styleId="BalloonText">
    <w:name w:val="Balloon Text"/>
    <w:basedOn w:val="Normal"/>
    <w:link w:val="BalloonTextChar"/>
    <w:locked/>
    <w:rsid w:val="00547237"/>
    <w:rPr>
      <w:rFonts w:ascii="Tahoma" w:hAnsi="Tahoma"/>
      <w:sz w:val="16"/>
      <w:szCs w:val="16"/>
      <w:lang w:val="x-none"/>
    </w:rPr>
  </w:style>
  <w:style w:type="character" w:customStyle="1" w:styleId="BalloonTextChar">
    <w:name w:val="Balloon Text Char"/>
    <w:link w:val="BalloonText"/>
    <w:rsid w:val="00547237"/>
    <w:rPr>
      <w:rFonts w:ascii="Tahoma" w:eastAsia="ヒラギノ角ゴ Pro W3" w:hAnsi="Tahoma" w:cs="Tahoma"/>
      <w:color w:val="000000"/>
      <w:sz w:val="16"/>
      <w:szCs w:val="16"/>
      <w:lang w:eastAsia="en-US"/>
    </w:rPr>
  </w:style>
  <w:style w:type="character" w:styleId="CommentReference">
    <w:name w:val="annotation reference"/>
    <w:locked/>
    <w:rsid w:val="00547237"/>
    <w:rPr>
      <w:sz w:val="16"/>
      <w:szCs w:val="16"/>
    </w:rPr>
  </w:style>
  <w:style w:type="paragraph" w:styleId="CommentText">
    <w:name w:val="annotation text"/>
    <w:basedOn w:val="Normal"/>
    <w:link w:val="CommentTextChar"/>
    <w:locked/>
    <w:rsid w:val="00547237"/>
    <w:rPr>
      <w:sz w:val="20"/>
      <w:szCs w:val="20"/>
      <w:lang w:val="x-none"/>
    </w:rPr>
  </w:style>
  <w:style w:type="character" w:customStyle="1" w:styleId="CommentTextChar">
    <w:name w:val="Comment Text Char"/>
    <w:link w:val="CommentText"/>
    <w:rsid w:val="00547237"/>
    <w:rPr>
      <w:rFonts w:eastAsia="ヒラギノ角ゴ Pro W3"/>
      <w:color w:val="000000"/>
      <w:lang w:eastAsia="en-US"/>
    </w:rPr>
  </w:style>
  <w:style w:type="paragraph" w:styleId="CommentSubject">
    <w:name w:val="annotation subject"/>
    <w:basedOn w:val="CommentText"/>
    <w:next w:val="CommentText"/>
    <w:link w:val="CommentSubjectChar"/>
    <w:locked/>
    <w:rsid w:val="00547237"/>
    <w:rPr>
      <w:b/>
      <w:bCs/>
    </w:rPr>
  </w:style>
  <w:style w:type="character" w:customStyle="1" w:styleId="CommentSubjectChar">
    <w:name w:val="Comment Subject Char"/>
    <w:link w:val="CommentSubject"/>
    <w:rsid w:val="00547237"/>
    <w:rPr>
      <w:rFonts w:eastAsia="ヒラギノ角ゴ Pro W3"/>
      <w:b/>
      <w:bCs/>
      <w:color w:val="000000"/>
      <w:lang w:eastAsia="en-US"/>
    </w:rPr>
  </w:style>
  <w:style w:type="paragraph" w:customStyle="1" w:styleId="ColorfulShading-Accent11">
    <w:name w:val="Colorful Shading - Accent 11"/>
    <w:hidden/>
    <w:uiPriority w:val="99"/>
    <w:semiHidden/>
    <w:rsid w:val="002744D7"/>
    <w:rPr>
      <w:rFonts w:eastAsia="ヒラギノ角ゴ Pro W3"/>
      <w:color w:val="000000"/>
      <w:sz w:val="24"/>
      <w:szCs w:val="24"/>
      <w:lang w:eastAsia="en-US"/>
    </w:rPr>
  </w:style>
  <w:style w:type="paragraph" w:styleId="Header">
    <w:name w:val="header"/>
    <w:basedOn w:val="Normal"/>
    <w:link w:val="HeaderChar"/>
    <w:locked/>
    <w:rsid w:val="00741420"/>
    <w:pPr>
      <w:tabs>
        <w:tab w:val="center" w:pos="4513"/>
        <w:tab w:val="right" w:pos="9026"/>
      </w:tabs>
    </w:pPr>
    <w:rPr>
      <w:lang w:val="x-none"/>
    </w:rPr>
  </w:style>
  <w:style w:type="character" w:customStyle="1" w:styleId="HeaderChar">
    <w:name w:val="Header Char"/>
    <w:link w:val="Header"/>
    <w:rsid w:val="00741420"/>
    <w:rPr>
      <w:rFonts w:eastAsia="ヒラギノ角ゴ Pro W3"/>
      <w:color w:val="000000"/>
      <w:sz w:val="24"/>
      <w:szCs w:val="24"/>
      <w:lang w:eastAsia="en-US"/>
    </w:rPr>
  </w:style>
  <w:style w:type="paragraph" w:styleId="Footer">
    <w:name w:val="footer"/>
    <w:basedOn w:val="Normal"/>
    <w:link w:val="FooterChar"/>
    <w:uiPriority w:val="99"/>
    <w:locked/>
    <w:rsid w:val="00741420"/>
    <w:pPr>
      <w:tabs>
        <w:tab w:val="center" w:pos="4513"/>
        <w:tab w:val="right" w:pos="9026"/>
      </w:tabs>
    </w:pPr>
    <w:rPr>
      <w:lang w:val="x-none"/>
    </w:rPr>
  </w:style>
  <w:style w:type="character" w:customStyle="1" w:styleId="FooterChar">
    <w:name w:val="Footer Char"/>
    <w:link w:val="Footer"/>
    <w:uiPriority w:val="99"/>
    <w:rsid w:val="00741420"/>
    <w:rPr>
      <w:rFonts w:eastAsia="ヒラギノ角ゴ Pro W3"/>
      <w:color w:val="000000"/>
      <w:sz w:val="24"/>
      <w:szCs w:val="24"/>
      <w:lang w:eastAsia="en-US"/>
    </w:rPr>
  </w:style>
  <w:style w:type="paragraph" w:styleId="FootnoteText">
    <w:name w:val="footnote text"/>
    <w:aliases w:val="Footnote Text Char2 Char,Footnote Text Char1 Char Char1,Footnote Text Char Char Char Char1,Footnote Text Char Char1 Char1,Footnote Text Char1 Char1,Footnote Text Char Char Char1,Footnote Text Char Char"/>
    <w:basedOn w:val="Normal"/>
    <w:link w:val="FootnoteTextChar"/>
    <w:uiPriority w:val="99"/>
    <w:locked/>
    <w:rsid w:val="005A6602"/>
    <w:rPr>
      <w:rFonts w:asciiTheme="minorHAnsi" w:eastAsia="Times New Roman" w:hAnsiTheme="minorHAnsi"/>
      <w:color w:val="auto"/>
      <w:sz w:val="18"/>
      <w:szCs w:val="20"/>
      <w:lang w:eastAsia="en-AU"/>
    </w:rPr>
  </w:style>
  <w:style w:type="character" w:customStyle="1" w:styleId="FootnoteTextChar">
    <w:name w:val="Footnote Text Char"/>
    <w:aliases w:val="Footnote Text Char2 Char Char,Footnote Text Char1 Char Char1 Char,Footnote Text Char Char Char Char1 Char,Footnote Text Char Char1 Char1 Char,Footnote Text Char1 Char1 Char,Footnote Text Char Char Char1 Char"/>
    <w:basedOn w:val="DefaultParagraphFont"/>
    <w:link w:val="FootnoteText"/>
    <w:uiPriority w:val="99"/>
    <w:rsid w:val="005A6602"/>
    <w:rPr>
      <w:rFonts w:asciiTheme="minorHAnsi" w:hAnsiTheme="minorHAnsi"/>
      <w:sz w:val="18"/>
    </w:rPr>
  </w:style>
  <w:style w:type="character" w:styleId="FootnoteReference">
    <w:name w:val="footnote reference"/>
    <w:uiPriority w:val="99"/>
    <w:locked/>
    <w:rsid w:val="006F0780"/>
    <w:rPr>
      <w:vertAlign w:val="superscript"/>
    </w:rPr>
  </w:style>
  <w:style w:type="paragraph" w:styleId="NormalWeb">
    <w:name w:val="Normal (Web)"/>
    <w:basedOn w:val="Normal"/>
    <w:uiPriority w:val="99"/>
    <w:locked/>
    <w:rsid w:val="006F0780"/>
    <w:pPr>
      <w:spacing w:after="360"/>
    </w:pPr>
    <w:rPr>
      <w:rFonts w:eastAsia="Times New Roman"/>
      <w:color w:val="auto"/>
      <w:lang w:eastAsia="en-AU"/>
    </w:rPr>
  </w:style>
  <w:style w:type="character" w:styleId="Strong">
    <w:name w:val="Strong"/>
    <w:uiPriority w:val="22"/>
    <w:qFormat/>
    <w:locked/>
    <w:rsid w:val="00D4502E"/>
    <w:rPr>
      <w:rFonts w:asciiTheme="minorHAnsi" w:hAnsiTheme="minorHAnsi"/>
      <w:bCs/>
    </w:rPr>
  </w:style>
  <w:style w:type="paragraph" w:customStyle="1" w:styleId="strongindent">
    <w:name w:val="strong indent"/>
    <w:basedOn w:val="Normal"/>
    <w:qFormat/>
    <w:rsid w:val="00D4502E"/>
    <w:pPr>
      <w:numPr>
        <w:numId w:val="1"/>
      </w:numPr>
      <w:spacing w:before="100" w:after="100"/>
      <w:jc w:val="both"/>
    </w:pPr>
    <w:rPr>
      <w:rFonts w:asciiTheme="minorHAnsi" w:hAnsiTheme="minorHAnsi"/>
    </w:rPr>
  </w:style>
  <w:style w:type="character" w:customStyle="1" w:styleId="Heading3Char">
    <w:name w:val="Heading 3 Char"/>
    <w:basedOn w:val="DefaultParagraphFont"/>
    <w:link w:val="Heading3"/>
    <w:uiPriority w:val="99"/>
    <w:rsid w:val="00D4502E"/>
    <w:rPr>
      <w:rFonts w:asciiTheme="majorHAnsi" w:eastAsiaTheme="minorEastAsia" w:hAnsiTheme="majorHAnsi" w:cstheme="minorBidi"/>
      <w:b/>
      <w:color w:val="4A442A" w:themeColor="background2" w:themeShade="40"/>
      <w:sz w:val="28"/>
      <w:szCs w:val="28"/>
    </w:rPr>
  </w:style>
  <w:style w:type="paragraph" w:customStyle="1" w:styleId="Style1">
    <w:name w:val="Style1"/>
    <w:basedOn w:val="Normal"/>
    <w:next w:val="Normal"/>
    <w:uiPriority w:val="99"/>
    <w:rsid w:val="00CA7EDA"/>
    <w:pPr>
      <w:widowControl w:val="0"/>
      <w:autoSpaceDE w:val="0"/>
      <w:autoSpaceDN w:val="0"/>
      <w:adjustRightInd w:val="0"/>
    </w:pPr>
    <w:rPr>
      <w:rFonts w:ascii="Calibri" w:eastAsiaTheme="minorEastAsia" w:hAnsi="Calibri" w:cs="Calibri"/>
      <w:color w:val="auto"/>
      <w:sz w:val="22"/>
      <w:szCs w:val="22"/>
      <w:lang w:eastAsia="en-AU"/>
    </w:rPr>
  </w:style>
  <w:style w:type="paragraph" w:customStyle="1" w:styleId="Style50">
    <w:name w:val="Style5"/>
    <w:basedOn w:val="Normal"/>
    <w:next w:val="Normal"/>
    <w:uiPriority w:val="99"/>
    <w:rsid w:val="00CA7EDA"/>
    <w:pPr>
      <w:widowControl w:val="0"/>
      <w:autoSpaceDE w:val="0"/>
      <w:autoSpaceDN w:val="0"/>
      <w:adjustRightInd w:val="0"/>
    </w:pPr>
    <w:rPr>
      <w:rFonts w:ascii="Arial" w:eastAsiaTheme="minorEastAsia" w:hAnsi="Arial" w:cs="Arial"/>
      <w:color w:val="auto"/>
      <w:sz w:val="18"/>
      <w:szCs w:val="18"/>
      <w:lang w:eastAsia="en-AU"/>
    </w:rPr>
  </w:style>
  <w:style w:type="paragraph" w:customStyle="1" w:styleId="Style12">
    <w:name w:val="Style12"/>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13"/>
      <w:szCs w:val="13"/>
      <w:lang w:eastAsia="en-AU"/>
    </w:rPr>
  </w:style>
  <w:style w:type="paragraph" w:customStyle="1" w:styleId="Style13">
    <w:name w:val="Style13"/>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20"/>
      <w:szCs w:val="20"/>
      <w:lang w:eastAsia="en-AU"/>
    </w:rPr>
  </w:style>
  <w:style w:type="paragraph" w:customStyle="1" w:styleId="Style15">
    <w:name w:val="Style15"/>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14"/>
      <w:szCs w:val="14"/>
      <w:lang w:eastAsia="en-AU"/>
    </w:rPr>
  </w:style>
  <w:style w:type="paragraph" w:customStyle="1" w:styleId="Style18">
    <w:name w:val="Style18"/>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22"/>
      <w:szCs w:val="22"/>
      <w:lang w:eastAsia="en-AU"/>
    </w:rPr>
  </w:style>
  <w:style w:type="paragraph" w:customStyle="1" w:styleId="Style19">
    <w:name w:val="Style19"/>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14"/>
      <w:szCs w:val="14"/>
      <w:lang w:eastAsia="en-AU"/>
    </w:rPr>
  </w:style>
  <w:style w:type="paragraph" w:styleId="ListParagraph">
    <w:name w:val="List Paragraph"/>
    <w:basedOn w:val="Normal"/>
    <w:uiPriority w:val="34"/>
    <w:qFormat/>
    <w:rsid w:val="00D4502E"/>
    <w:pPr>
      <w:ind w:left="720"/>
      <w:contextualSpacing/>
    </w:pPr>
  </w:style>
  <w:style w:type="paragraph" w:customStyle="1" w:styleId="Body">
    <w:name w:val="Body"/>
    <w:basedOn w:val="Normal"/>
    <w:uiPriority w:val="99"/>
    <w:rsid w:val="000B2DFA"/>
    <w:pPr>
      <w:jc w:val="both"/>
    </w:pPr>
    <w:rPr>
      <w:rFonts w:ascii="Constantia" w:eastAsia="Times New Roman" w:hAnsi="Constantia" w:cs="Constantia"/>
      <w:color w:val="auto"/>
      <w:sz w:val="22"/>
      <w:szCs w:val="22"/>
      <w:lang w:eastAsia="en-AU"/>
    </w:rPr>
  </w:style>
  <w:style w:type="table" w:styleId="TableGrid">
    <w:name w:val="Table Grid"/>
    <w:basedOn w:val="TableNormal"/>
    <w:locked/>
    <w:rsid w:val="000B2DF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locked/>
    <w:rsid w:val="00C763E2"/>
    <w:rPr>
      <w:color w:val="0000FF" w:themeColor="hyperlink"/>
      <w:u w:val="single"/>
    </w:rPr>
  </w:style>
  <w:style w:type="character" w:customStyle="1" w:styleId="Heading2Char">
    <w:name w:val="Heading 2 Char"/>
    <w:basedOn w:val="DefaultParagraphFont"/>
    <w:link w:val="Heading2"/>
    <w:rsid w:val="00D4502E"/>
    <w:rPr>
      <w:rFonts w:asciiTheme="majorHAnsi" w:eastAsiaTheme="majorEastAsia" w:hAnsiTheme="majorHAnsi" w:cstheme="majorBidi"/>
      <w:b/>
      <w:bCs/>
      <w:color w:val="4F81BD" w:themeColor="accent1"/>
      <w:sz w:val="26"/>
      <w:szCs w:val="26"/>
      <w:lang w:eastAsia="en-US"/>
    </w:rPr>
  </w:style>
  <w:style w:type="paragraph" w:styleId="NoSpacing">
    <w:name w:val="No Spacing"/>
    <w:basedOn w:val="Normal"/>
    <w:link w:val="NoSpacingChar"/>
    <w:uiPriority w:val="1"/>
    <w:qFormat/>
    <w:rsid w:val="00D4502E"/>
    <w:rPr>
      <w:rFonts w:asciiTheme="minorHAnsi" w:eastAsiaTheme="minorHAnsi" w:hAnsiTheme="minorHAnsi"/>
      <w:color w:val="auto"/>
      <w:sz w:val="23"/>
      <w:szCs w:val="20"/>
      <w:lang w:val="en-US" w:eastAsia="ja-JP"/>
    </w:rPr>
  </w:style>
  <w:style w:type="paragraph" w:styleId="Title">
    <w:name w:val="Title"/>
    <w:basedOn w:val="Normal"/>
    <w:next w:val="Normal"/>
    <w:link w:val="TitleChar"/>
    <w:uiPriority w:val="10"/>
    <w:qFormat/>
    <w:locked/>
    <w:rsid w:val="00D450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4502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locked/>
    <w:rsid w:val="00D4502E"/>
    <w:pPr>
      <w:numPr>
        <w:ilvl w:val="1"/>
      </w:numPr>
      <w:spacing w:after="200" w:line="276" w:lineRule="auto"/>
    </w:pPr>
    <w:rPr>
      <w:rFonts w:asciiTheme="majorHAnsi" w:eastAsiaTheme="majorEastAsia" w:hAnsiTheme="majorHAnsi" w:cstheme="majorBidi"/>
      <w:i/>
      <w:iCs/>
      <w:color w:val="4F81BD" w:themeColor="accent1"/>
      <w:spacing w:val="15"/>
      <w:lang w:val="en-US" w:eastAsia="ja-JP"/>
    </w:rPr>
  </w:style>
  <w:style w:type="character" w:customStyle="1" w:styleId="SubtitleChar">
    <w:name w:val="Subtitle Char"/>
    <w:basedOn w:val="DefaultParagraphFont"/>
    <w:link w:val="Subtitle"/>
    <w:uiPriority w:val="11"/>
    <w:rsid w:val="00D4502E"/>
    <w:rPr>
      <w:rFonts w:asciiTheme="majorHAnsi" w:eastAsiaTheme="majorEastAsia" w:hAnsiTheme="majorHAnsi" w:cstheme="majorBidi"/>
      <w:i/>
      <w:iCs/>
      <w:color w:val="4F81BD" w:themeColor="accent1"/>
      <w:spacing w:val="15"/>
      <w:sz w:val="24"/>
      <w:szCs w:val="24"/>
      <w:lang w:val="en-US" w:eastAsia="ja-JP"/>
    </w:rPr>
  </w:style>
  <w:style w:type="character" w:customStyle="1" w:styleId="NoSpacingChar">
    <w:name w:val="No Spacing Char"/>
    <w:basedOn w:val="DefaultParagraphFont"/>
    <w:link w:val="NoSpacing"/>
    <w:uiPriority w:val="1"/>
    <w:rsid w:val="00D4502E"/>
    <w:rPr>
      <w:rFonts w:asciiTheme="minorHAnsi" w:eastAsiaTheme="minorHAnsi" w:hAnsiTheme="minorHAnsi"/>
      <w:sz w:val="23"/>
      <w:lang w:val="en-US" w:eastAsia="ja-JP"/>
    </w:rPr>
  </w:style>
  <w:style w:type="character" w:customStyle="1" w:styleId="Heading1Char">
    <w:name w:val="Heading 1 Char"/>
    <w:basedOn w:val="DefaultParagraphFont"/>
    <w:link w:val="Heading1"/>
    <w:rsid w:val="00D4502E"/>
    <w:rPr>
      <w:rFonts w:asciiTheme="majorHAnsi" w:eastAsiaTheme="majorEastAsia" w:hAnsiTheme="majorHAnsi" w:cstheme="majorBidi"/>
      <w:b/>
      <w:bCs/>
      <w:color w:val="4A442A" w:themeColor="background2" w:themeShade="40"/>
      <w:sz w:val="32"/>
      <w:szCs w:val="32"/>
      <w:lang w:eastAsia="en-US"/>
    </w:rPr>
  </w:style>
  <w:style w:type="paragraph" w:styleId="Quote">
    <w:name w:val="Quote"/>
    <w:basedOn w:val="Normal"/>
    <w:next w:val="Normal"/>
    <w:link w:val="QuoteChar"/>
    <w:uiPriority w:val="29"/>
    <w:qFormat/>
    <w:rsid w:val="00D4502E"/>
    <w:rPr>
      <w:i/>
      <w:iCs/>
      <w:color w:val="000000" w:themeColor="text1"/>
    </w:rPr>
  </w:style>
  <w:style w:type="character" w:customStyle="1" w:styleId="QuoteChar">
    <w:name w:val="Quote Char"/>
    <w:basedOn w:val="DefaultParagraphFont"/>
    <w:link w:val="Quote"/>
    <w:uiPriority w:val="29"/>
    <w:rsid w:val="00D4502E"/>
    <w:rPr>
      <w:rFonts w:eastAsia="ヒラギノ角ゴ Pro W3"/>
      <w:i/>
      <w:iCs/>
      <w:color w:val="000000" w:themeColor="text1"/>
      <w:sz w:val="24"/>
      <w:szCs w:val="24"/>
      <w:lang w:eastAsia="en-US"/>
    </w:rPr>
  </w:style>
  <w:style w:type="character" w:styleId="IntenseEmphasis">
    <w:name w:val="Intense Emphasis"/>
    <w:basedOn w:val="DefaultParagraphFont"/>
    <w:uiPriority w:val="21"/>
    <w:qFormat/>
    <w:rsid w:val="00D4502E"/>
    <w:rPr>
      <w:b/>
      <w:bCs/>
      <w:i/>
      <w:iCs/>
      <w:color w:val="4F81BD" w:themeColor="accent1"/>
    </w:rPr>
  </w:style>
  <w:style w:type="paragraph" w:customStyle="1" w:styleId="CurrentBluebookstatisticalhighlights">
    <w:name w:val="Current Blue book statistical highlights"/>
    <w:basedOn w:val="Normal"/>
    <w:rsid w:val="00365099"/>
    <w:pPr>
      <w:widowControl w:val="0"/>
      <w:numPr>
        <w:numId w:val="23"/>
      </w:numPr>
      <w:autoSpaceDE w:val="0"/>
      <w:autoSpaceDN w:val="0"/>
      <w:adjustRightInd w:val="0"/>
      <w:spacing w:before="215" w:line="276" w:lineRule="exact"/>
    </w:pPr>
    <w:rPr>
      <w:rFonts w:eastAsia="Times New Roman"/>
      <w:lang w:eastAsia="en-AU"/>
    </w:rPr>
  </w:style>
  <w:style w:type="paragraph" w:styleId="ListBullet">
    <w:name w:val="List Bullet"/>
    <w:basedOn w:val="BodyText"/>
    <w:locked/>
    <w:rsid w:val="00AC2A4E"/>
    <w:pPr>
      <w:numPr>
        <w:numId w:val="26"/>
      </w:numPr>
      <w:tabs>
        <w:tab w:val="clear" w:pos="340"/>
      </w:tabs>
      <w:spacing w:before="120" w:after="0" w:line="320" w:lineRule="atLeast"/>
      <w:ind w:left="720" w:hanging="360"/>
      <w:jc w:val="both"/>
    </w:pPr>
    <w:rPr>
      <w:rFonts w:eastAsia="Times New Roman"/>
      <w:color w:val="auto"/>
      <w:sz w:val="26"/>
      <w:szCs w:val="20"/>
      <w:lang w:eastAsia="en-AU"/>
    </w:rPr>
  </w:style>
  <w:style w:type="paragraph" w:styleId="BodyText">
    <w:name w:val="Body Text"/>
    <w:basedOn w:val="Normal"/>
    <w:link w:val="BodyTextChar"/>
    <w:locked/>
    <w:rsid w:val="00AC2A4E"/>
    <w:pPr>
      <w:spacing w:after="120"/>
    </w:pPr>
  </w:style>
  <w:style w:type="character" w:customStyle="1" w:styleId="BodyTextChar">
    <w:name w:val="Body Text Char"/>
    <w:basedOn w:val="DefaultParagraphFont"/>
    <w:link w:val="BodyText"/>
    <w:rsid w:val="00AC2A4E"/>
    <w:rPr>
      <w:rFonts w:eastAsia="ヒラギノ角ゴ Pro W3"/>
      <w:color w:val="000000"/>
      <w:sz w:val="24"/>
      <w:szCs w:val="24"/>
      <w:lang w:eastAsia="en-US"/>
    </w:rPr>
  </w:style>
  <w:style w:type="character" w:customStyle="1" w:styleId="articletemplatetext">
    <w:name w:val="articletemplatetext"/>
    <w:basedOn w:val="DefaultParagraphFont"/>
    <w:rsid w:val="006F08BC"/>
  </w:style>
  <w:style w:type="character" w:customStyle="1" w:styleId="01bodybold">
    <w:name w:val="01 body bold"/>
    <w:uiPriority w:val="99"/>
    <w:qFormat/>
    <w:rsid w:val="00D4502E"/>
    <w:rPr>
      <w:rFonts w:ascii="Times New Roman" w:hAnsi="Times New Roman"/>
      <w:b/>
      <w:color w:val="000000"/>
    </w:rPr>
  </w:style>
  <w:style w:type="paragraph" w:customStyle="1" w:styleId="01Tabletext">
    <w:name w:val="01 Table text"/>
    <w:basedOn w:val="Normal"/>
    <w:uiPriority w:val="99"/>
    <w:rsid w:val="00BF5E0F"/>
    <w:pPr>
      <w:spacing w:after="200" w:line="276" w:lineRule="auto"/>
    </w:pPr>
    <w:rPr>
      <w:rFonts w:eastAsiaTheme="minorEastAsia"/>
      <w:color w:val="000000" w:themeColor="text1"/>
      <w:szCs w:val="22"/>
      <w:lang w:val="en-US"/>
    </w:rPr>
  </w:style>
  <w:style w:type="paragraph" w:customStyle="1" w:styleId="NoParagraphStyle">
    <w:name w:val="[No Paragraph Style]"/>
    <w:rsid w:val="00BF5E0F"/>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Heading30">
    <w:name w:val="Heading3"/>
    <w:basedOn w:val="Normal"/>
    <w:rsid w:val="008D6F44"/>
    <w:rPr>
      <w:rFonts w:asciiTheme="minorHAnsi" w:hAnsiTheme="minorHAnsi" w:cstheme="minorHAnsi"/>
      <w:b/>
      <w:sz w:val="22"/>
    </w:rPr>
  </w:style>
  <w:style w:type="paragraph" w:styleId="TOCHeading">
    <w:name w:val="TOC Heading"/>
    <w:basedOn w:val="Heading1"/>
    <w:next w:val="Normal"/>
    <w:uiPriority w:val="39"/>
    <w:semiHidden/>
    <w:unhideWhenUsed/>
    <w:qFormat/>
    <w:rsid w:val="008D6F44"/>
    <w:pPr>
      <w:outlineLvl w:val="9"/>
    </w:pPr>
    <w:rPr>
      <w:color w:val="365F91" w:themeColor="accent1" w:themeShade="BF"/>
      <w:sz w:val="28"/>
      <w:szCs w:val="28"/>
    </w:rPr>
  </w:style>
  <w:style w:type="paragraph" w:styleId="TOC1">
    <w:name w:val="toc 1"/>
    <w:basedOn w:val="Normal"/>
    <w:next w:val="Normal"/>
    <w:autoRedefine/>
    <w:uiPriority w:val="39"/>
    <w:locked/>
    <w:rsid w:val="008D6F44"/>
    <w:pPr>
      <w:spacing w:after="100"/>
    </w:pPr>
  </w:style>
  <w:style w:type="paragraph" w:styleId="TOC2">
    <w:name w:val="toc 2"/>
    <w:basedOn w:val="Normal"/>
    <w:next w:val="Normal"/>
    <w:autoRedefine/>
    <w:uiPriority w:val="39"/>
    <w:locked/>
    <w:rsid w:val="008D6F44"/>
    <w:pPr>
      <w:spacing w:after="100"/>
      <w:ind w:left="240"/>
    </w:pPr>
  </w:style>
  <w:style w:type="paragraph" w:styleId="TOC3">
    <w:name w:val="toc 3"/>
    <w:basedOn w:val="Normal"/>
    <w:next w:val="Normal"/>
    <w:autoRedefine/>
    <w:uiPriority w:val="39"/>
    <w:locked/>
    <w:rsid w:val="008D6F44"/>
    <w:pPr>
      <w:spacing w:after="100"/>
      <w:ind w:left="480"/>
    </w:pPr>
  </w:style>
  <w:style w:type="character" w:styleId="FollowedHyperlink">
    <w:name w:val="FollowedHyperlink"/>
    <w:basedOn w:val="DefaultParagraphFont"/>
    <w:locked/>
    <w:rsid w:val="001E63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D4502E"/>
    <w:rPr>
      <w:rFonts w:eastAsia="ヒラギノ角ゴ Pro W3"/>
      <w:color w:val="000000"/>
      <w:sz w:val="24"/>
      <w:szCs w:val="24"/>
      <w:lang w:eastAsia="en-US"/>
    </w:rPr>
  </w:style>
  <w:style w:type="paragraph" w:styleId="Heading1">
    <w:name w:val="heading 1"/>
    <w:basedOn w:val="Normal"/>
    <w:next w:val="Normal"/>
    <w:link w:val="Heading1Char"/>
    <w:qFormat/>
    <w:locked/>
    <w:rsid w:val="00D4502E"/>
    <w:pPr>
      <w:keepNext/>
      <w:keepLines/>
      <w:spacing w:before="480"/>
      <w:outlineLvl w:val="0"/>
    </w:pPr>
    <w:rPr>
      <w:rFonts w:asciiTheme="majorHAnsi" w:eastAsiaTheme="majorEastAsia" w:hAnsiTheme="majorHAnsi" w:cstheme="majorBidi"/>
      <w:b/>
      <w:bCs/>
      <w:color w:val="4A442A" w:themeColor="background2" w:themeShade="40"/>
      <w:sz w:val="32"/>
      <w:szCs w:val="32"/>
    </w:rPr>
  </w:style>
  <w:style w:type="paragraph" w:styleId="Heading2">
    <w:name w:val="heading 2"/>
    <w:basedOn w:val="Normal"/>
    <w:next w:val="Normal"/>
    <w:link w:val="Heading2Char"/>
    <w:unhideWhenUsed/>
    <w:qFormat/>
    <w:locked/>
    <w:rsid w:val="00D450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D4502E"/>
    <w:pPr>
      <w:widowControl w:val="0"/>
      <w:autoSpaceDE w:val="0"/>
      <w:autoSpaceDN w:val="0"/>
      <w:adjustRightInd w:val="0"/>
      <w:spacing w:before="240"/>
      <w:outlineLvl w:val="2"/>
    </w:pPr>
    <w:rPr>
      <w:rFonts w:asciiTheme="majorHAnsi" w:eastAsiaTheme="minorEastAsia" w:hAnsiTheme="majorHAnsi" w:cstheme="minorBidi"/>
      <w:b/>
      <w:color w:val="4A442A" w:themeColor="background2" w:themeShade="40"/>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Calibri" w:eastAsia="ヒラギノ角ゴ Pro W3" w:hAnsi="Calibri"/>
      <w:color w:val="000000"/>
      <w:sz w:val="22"/>
    </w:rPr>
  </w:style>
  <w:style w:type="paragraph" w:customStyle="1" w:styleId="Footer1">
    <w:name w:val="Footer1"/>
    <w:pPr>
      <w:tabs>
        <w:tab w:val="center" w:pos="4513"/>
        <w:tab w:val="right" w:pos="9026"/>
      </w:tabs>
    </w:pPr>
    <w:rPr>
      <w:rFonts w:eastAsia="ヒラギノ角ゴ Pro W3"/>
      <w:color w:val="000000"/>
      <w:sz w:val="24"/>
    </w:rPr>
  </w:style>
  <w:style w:type="paragraph" w:customStyle="1" w:styleId="NormalWeb1">
    <w:name w:val="Normal (Web)1"/>
    <w:autoRedefine/>
    <w:rsid w:val="00883411"/>
    <w:pPr>
      <w:spacing w:before="100" w:after="100"/>
    </w:pPr>
    <w:rPr>
      <w:rFonts w:ascii="Calibri" w:eastAsia="ヒラギノ角ゴ Pro W3" w:hAnsi="Calibri" w:cs="Calibri"/>
      <w:color w:val="000000"/>
      <w:sz w:val="24"/>
      <w:szCs w:val="24"/>
    </w:rPr>
  </w:style>
  <w:style w:type="paragraph" w:customStyle="1" w:styleId="style5">
    <w:name w:val="style5"/>
    <w:pPr>
      <w:spacing w:before="100" w:after="100"/>
    </w:pPr>
    <w:rPr>
      <w:rFonts w:eastAsia="ヒラギノ角ゴ Pro W3"/>
      <w:color w:val="000000"/>
      <w:sz w:val="24"/>
    </w:rPr>
  </w:style>
  <w:style w:type="numbering" w:customStyle="1" w:styleId="List1">
    <w:name w:val="List 1"/>
    <w:autoRedefine/>
  </w:style>
  <w:style w:type="numbering" w:customStyle="1" w:styleId="List21">
    <w:name w:val="List 21"/>
  </w:style>
  <w:style w:type="character" w:customStyle="1" w:styleId="FootnoteReference1">
    <w:name w:val="Footnote Reference1"/>
    <w:rPr>
      <w:color w:val="000000"/>
      <w:sz w:val="22"/>
      <w:vertAlign w:val="superscript"/>
    </w:rPr>
  </w:style>
  <w:style w:type="paragraph" w:customStyle="1" w:styleId="FootnoteText1">
    <w:name w:val="Footnote Text1"/>
    <w:rPr>
      <w:rFonts w:eastAsia="ヒラギノ角ゴ Pro W3"/>
      <w:color w:val="000000"/>
    </w:rPr>
  </w:style>
  <w:style w:type="paragraph" w:customStyle="1" w:styleId="ColorfulList-Accent11">
    <w:name w:val="Colorful List - Accent 11"/>
    <w:uiPriority w:val="34"/>
    <w:qFormat/>
    <w:rsid w:val="00D4502E"/>
    <w:pPr>
      <w:spacing w:after="200" w:line="276" w:lineRule="auto"/>
      <w:ind w:left="720"/>
    </w:pPr>
    <w:rPr>
      <w:rFonts w:ascii="Calibri" w:eastAsia="ヒラギノ角ゴ Pro W3" w:hAnsi="Calibri"/>
      <w:color w:val="000000"/>
      <w:sz w:val="22"/>
      <w:lang w:val="en-US"/>
    </w:rPr>
  </w:style>
  <w:style w:type="paragraph" w:customStyle="1" w:styleId="Default">
    <w:name w:val="Default"/>
    <w:rPr>
      <w:rFonts w:ascii="Calibri" w:eastAsia="ヒラギノ角ゴ Pro W3" w:hAnsi="Calibri"/>
      <w:color w:val="000000"/>
      <w:sz w:val="24"/>
    </w:rPr>
  </w:style>
  <w:style w:type="paragraph" w:customStyle="1" w:styleId="BodyA">
    <w:name w:val="Body A"/>
    <w:pPr>
      <w:jc w:val="both"/>
    </w:pPr>
    <w:rPr>
      <w:rFonts w:ascii="Constantia" w:eastAsia="ヒラギノ角ゴ Pro W3" w:hAnsi="Constantia"/>
      <w:color w:val="000000"/>
      <w:sz w:val="22"/>
    </w:rPr>
  </w:style>
  <w:style w:type="paragraph" w:customStyle="1" w:styleId="EndnoteText1">
    <w:name w:val="Endnote Text1"/>
    <w:rPr>
      <w:rFonts w:ascii="Calibri" w:eastAsia="ヒラギノ角ゴ Pro W3" w:hAnsi="Calibri"/>
      <w:color w:val="000000"/>
    </w:rPr>
  </w:style>
  <w:style w:type="paragraph" w:styleId="BalloonText">
    <w:name w:val="Balloon Text"/>
    <w:basedOn w:val="Normal"/>
    <w:link w:val="BalloonTextChar"/>
    <w:locked/>
    <w:rsid w:val="00547237"/>
    <w:rPr>
      <w:rFonts w:ascii="Tahoma" w:hAnsi="Tahoma"/>
      <w:sz w:val="16"/>
      <w:szCs w:val="16"/>
      <w:lang w:val="x-none"/>
    </w:rPr>
  </w:style>
  <w:style w:type="character" w:customStyle="1" w:styleId="BalloonTextChar">
    <w:name w:val="Balloon Text Char"/>
    <w:link w:val="BalloonText"/>
    <w:rsid w:val="00547237"/>
    <w:rPr>
      <w:rFonts w:ascii="Tahoma" w:eastAsia="ヒラギノ角ゴ Pro W3" w:hAnsi="Tahoma" w:cs="Tahoma"/>
      <w:color w:val="000000"/>
      <w:sz w:val="16"/>
      <w:szCs w:val="16"/>
      <w:lang w:eastAsia="en-US"/>
    </w:rPr>
  </w:style>
  <w:style w:type="character" w:styleId="CommentReference">
    <w:name w:val="annotation reference"/>
    <w:locked/>
    <w:rsid w:val="00547237"/>
    <w:rPr>
      <w:sz w:val="16"/>
      <w:szCs w:val="16"/>
    </w:rPr>
  </w:style>
  <w:style w:type="paragraph" w:styleId="CommentText">
    <w:name w:val="annotation text"/>
    <w:basedOn w:val="Normal"/>
    <w:link w:val="CommentTextChar"/>
    <w:locked/>
    <w:rsid w:val="00547237"/>
    <w:rPr>
      <w:sz w:val="20"/>
      <w:szCs w:val="20"/>
      <w:lang w:val="x-none"/>
    </w:rPr>
  </w:style>
  <w:style w:type="character" w:customStyle="1" w:styleId="CommentTextChar">
    <w:name w:val="Comment Text Char"/>
    <w:link w:val="CommentText"/>
    <w:rsid w:val="00547237"/>
    <w:rPr>
      <w:rFonts w:eastAsia="ヒラギノ角ゴ Pro W3"/>
      <w:color w:val="000000"/>
      <w:lang w:eastAsia="en-US"/>
    </w:rPr>
  </w:style>
  <w:style w:type="paragraph" w:styleId="CommentSubject">
    <w:name w:val="annotation subject"/>
    <w:basedOn w:val="CommentText"/>
    <w:next w:val="CommentText"/>
    <w:link w:val="CommentSubjectChar"/>
    <w:locked/>
    <w:rsid w:val="00547237"/>
    <w:rPr>
      <w:b/>
      <w:bCs/>
    </w:rPr>
  </w:style>
  <w:style w:type="character" w:customStyle="1" w:styleId="CommentSubjectChar">
    <w:name w:val="Comment Subject Char"/>
    <w:link w:val="CommentSubject"/>
    <w:rsid w:val="00547237"/>
    <w:rPr>
      <w:rFonts w:eastAsia="ヒラギノ角ゴ Pro W3"/>
      <w:b/>
      <w:bCs/>
      <w:color w:val="000000"/>
      <w:lang w:eastAsia="en-US"/>
    </w:rPr>
  </w:style>
  <w:style w:type="paragraph" w:customStyle="1" w:styleId="ColorfulShading-Accent11">
    <w:name w:val="Colorful Shading - Accent 11"/>
    <w:hidden/>
    <w:uiPriority w:val="99"/>
    <w:semiHidden/>
    <w:rsid w:val="002744D7"/>
    <w:rPr>
      <w:rFonts w:eastAsia="ヒラギノ角ゴ Pro W3"/>
      <w:color w:val="000000"/>
      <w:sz w:val="24"/>
      <w:szCs w:val="24"/>
      <w:lang w:eastAsia="en-US"/>
    </w:rPr>
  </w:style>
  <w:style w:type="paragraph" w:styleId="Header">
    <w:name w:val="header"/>
    <w:basedOn w:val="Normal"/>
    <w:link w:val="HeaderChar"/>
    <w:locked/>
    <w:rsid w:val="00741420"/>
    <w:pPr>
      <w:tabs>
        <w:tab w:val="center" w:pos="4513"/>
        <w:tab w:val="right" w:pos="9026"/>
      </w:tabs>
    </w:pPr>
    <w:rPr>
      <w:lang w:val="x-none"/>
    </w:rPr>
  </w:style>
  <w:style w:type="character" w:customStyle="1" w:styleId="HeaderChar">
    <w:name w:val="Header Char"/>
    <w:link w:val="Header"/>
    <w:rsid w:val="00741420"/>
    <w:rPr>
      <w:rFonts w:eastAsia="ヒラギノ角ゴ Pro W3"/>
      <w:color w:val="000000"/>
      <w:sz w:val="24"/>
      <w:szCs w:val="24"/>
      <w:lang w:eastAsia="en-US"/>
    </w:rPr>
  </w:style>
  <w:style w:type="paragraph" w:styleId="Footer">
    <w:name w:val="footer"/>
    <w:basedOn w:val="Normal"/>
    <w:link w:val="FooterChar"/>
    <w:uiPriority w:val="99"/>
    <w:locked/>
    <w:rsid w:val="00741420"/>
    <w:pPr>
      <w:tabs>
        <w:tab w:val="center" w:pos="4513"/>
        <w:tab w:val="right" w:pos="9026"/>
      </w:tabs>
    </w:pPr>
    <w:rPr>
      <w:lang w:val="x-none"/>
    </w:rPr>
  </w:style>
  <w:style w:type="character" w:customStyle="1" w:styleId="FooterChar">
    <w:name w:val="Footer Char"/>
    <w:link w:val="Footer"/>
    <w:uiPriority w:val="99"/>
    <w:rsid w:val="00741420"/>
    <w:rPr>
      <w:rFonts w:eastAsia="ヒラギノ角ゴ Pro W3"/>
      <w:color w:val="000000"/>
      <w:sz w:val="24"/>
      <w:szCs w:val="24"/>
      <w:lang w:eastAsia="en-US"/>
    </w:rPr>
  </w:style>
  <w:style w:type="paragraph" w:styleId="FootnoteText">
    <w:name w:val="footnote text"/>
    <w:aliases w:val="Footnote Text Char2 Char,Footnote Text Char1 Char Char1,Footnote Text Char Char Char Char1,Footnote Text Char Char1 Char1,Footnote Text Char1 Char1,Footnote Text Char Char Char1,Footnote Text Char Char"/>
    <w:basedOn w:val="Normal"/>
    <w:link w:val="FootnoteTextChar"/>
    <w:uiPriority w:val="99"/>
    <w:locked/>
    <w:rsid w:val="005A6602"/>
    <w:rPr>
      <w:rFonts w:asciiTheme="minorHAnsi" w:eastAsia="Times New Roman" w:hAnsiTheme="minorHAnsi"/>
      <w:color w:val="auto"/>
      <w:sz w:val="18"/>
      <w:szCs w:val="20"/>
      <w:lang w:eastAsia="en-AU"/>
    </w:rPr>
  </w:style>
  <w:style w:type="character" w:customStyle="1" w:styleId="FootnoteTextChar">
    <w:name w:val="Footnote Text Char"/>
    <w:aliases w:val="Footnote Text Char2 Char Char,Footnote Text Char1 Char Char1 Char,Footnote Text Char Char Char Char1 Char,Footnote Text Char Char1 Char1 Char,Footnote Text Char1 Char1 Char,Footnote Text Char Char Char1 Char"/>
    <w:basedOn w:val="DefaultParagraphFont"/>
    <w:link w:val="FootnoteText"/>
    <w:uiPriority w:val="99"/>
    <w:rsid w:val="005A6602"/>
    <w:rPr>
      <w:rFonts w:asciiTheme="minorHAnsi" w:hAnsiTheme="minorHAnsi"/>
      <w:sz w:val="18"/>
    </w:rPr>
  </w:style>
  <w:style w:type="character" w:styleId="FootnoteReference">
    <w:name w:val="footnote reference"/>
    <w:uiPriority w:val="99"/>
    <w:locked/>
    <w:rsid w:val="006F0780"/>
    <w:rPr>
      <w:vertAlign w:val="superscript"/>
    </w:rPr>
  </w:style>
  <w:style w:type="paragraph" w:styleId="NormalWeb">
    <w:name w:val="Normal (Web)"/>
    <w:basedOn w:val="Normal"/>
    <w:uiPriority w:val="99"/>
    <w:locked/>
    <w:rsid w:val="006F0780"/>
    <w:pPr>
      <w:spacing w:after="360"/>
    </w:pPr>
    <w:rPr>
      <w:rFonts w:eastAsia="Times New Roman"/>
      <w:color w:val="auto"/>
      <w:lang w:eastAsia="en-AU"/>
    </w:rPr>
  </w:style>
  <w:style w:type="character" w:styleId="Strong">
    <w:name w:val="Strong"/>
    <w:uiPriority w:val="22"/>
    <w:qFormat/>
    <w:locked/>
    <w:rsid w:val="00D4502E"/>
    <w:rPr>
      <w:rFonts w:asciiTheme="minorHAnsi" w:hAnsiTheme="minorHAnsi"/>
      <w:bCs/>
    </w:rPr>
  </w:style>
  <w:style w:type="paragraph" w:customStyle="1" w:styleId="strongindent">
    <w:name w:val="strong indent"/>
    <w:basedOn w:val="Normal"/>
    <w:qFormat/>
    <w:rsid w:val="00D4502E"/>
    <w:pPr>
      <w:numPr>
        <w:numId w:val="1"/>
      </w:numPr>
      <w:spacing w:before="100" w:after="100"/>
      <w:jc w:val="both"/>
    </w:pPr>
    <w:rPr>
      <w:rFonts w:asciiTheme="minorHAnsi" w:hAnsiTheme="minorHAnsi"/>
    </w:rPr>
  </w:style>
  <w:style w:type="character" w:customStyle="1" w:styleId="Heading3Char">
    <w:name w:val="Heading 3 Char"/>
    <w:basedOn w:val="DefaultParagraphFont"/>
    <w:link w:val="Heading3"/>
    <w:uiPriority w:val="99"/>
    <w:rsid w:val="00D4502E"/>
    <w:rPr>
      <w:rFonts w:asciiTheme="majorHAnsi" w:eastAsiaTheme="minorEastAsia" w:hAnsiTheme="majorHAnsi" w:cstheme="minorBidi"/>
      <w:b/>
      <w:color w:val="4A442A" w:themeColor="background2" w:themeShade="40"/>
      <w:sz w:val="28"/>
      <w:szCs w:val="28"/>
    </w:rPr>
  </w:style>
  <w:style w:type="paragraph" w:customStyle="1" w:styleId="Style1">
    <w:name w:val="Style1"/>
    <w:basedOn w:val="Normal"/>
    <w:next w:val="Normal"/>
    <w:uiPriority w:val="99"/>
    <w:rsid w:val="00CA7EDA"/>
    <w:pPr>
      <w:widowControl w:val="0"/>
      <w:autoSpaceDE w:val="0"/>
      <w:autoSpaceDN w:val="0"/>
      <w:adjustRightInd w:val="0"/>
    </w:pPr>
    <w:rPr>
      <w:rFonts w:ascii="Calibri" w:eastAsiaTheme="minorEastAsia" w:hAnsi="Calibri" w:cs="Calibri"/>
      <w:color w:val="auto"/>
      <w:sz w:val="22"/>
      <w:szCs w:val="22"/>
      <w:lang w:eastAsia="en-AU"/>
    </w:rPr>
  </w:style>
  <w:style w:type="paragraph" w:customStyle="1" w:styleId="Style50">
    <w:name w:val="Style5"/>
    <w:basedOn w:val="Normal"/>
    <w:next w:val="Normal"/>
    <w:uiPriority w:val="99"/>
    <w:rsid w:val="00CA7EDA"/>
    <w:pPr>
      <w:widowControl w:val="0"/>
      <w:autoSpaceDE w:val="0"/>
      <w:autoSpaceDN w:val="0"/>
      <w:adjustRightInd w:val="0"/>
    </w:pPr>
    <w:rPr>
      <w:rFonts w:ascii="Arial" w:eastAsiaTheme="minorEastAsia" w:hAnsi="Arial" w:cs="Arial"/>
      <w:color w:val="auto"/>
      <w:sz w:val="18"/>
      <w:szCs w:val="18"/>
      <w:lang w:eastAsia="en-AU"/>
    </w:rPr>
  </w:style>
  <w:style w:type="paragraph" w:customStyle="1" w:styleId="Style12">
    <w:name w:val="Style12"/>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13"/>
      <w:szCs w:val="13"/>
      <w:lang w:eastAsia="en-AU"/>
    </w:rPr>
  </w:style>
  <w:style w:type="paragraph" w:customStyle="1" w:styleId="Style13">
    <w:name w:val="Style13"/>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20"/>
      <w:szCs w:val="20"/>
      <w:lang w:eastAsia="en-AU"/>
    </w:rPr>
  </w:style>
  <w:style w:type="paragraph" w:customStyle="1" w:styleId="Style15">
    <w:name w:val="Style15"/>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14"/>
      <w:szCs w:val="14"/>
      <w:lang w:eastAsia="en-AU"/>
    </w:rPr>
  </w:style>
  <w:style w:type="paragraph" w:customStyle="1" w:styleId="Style18">
    <w:name w:val="Style18"/>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22"/>
      <w:szCs w:val="22"/>
      <w:lang w:eastAsia="en-AU"/>
    </w:rPr>
  </w:style>
  <w:style w:type="paragraph" w:customStyle="1" w:styleId="Style19">
    <w:name w:val="Style19"/>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14"/>
      <w:szCs w:val="14"/>
      <w:lang w:eastAsia="en-AU"/>
    </w:rPr>
  </w:style>
  <w:style w:type="paragraph" w:styleId="ListParagraph">
    <w:name w:val="List Paragraph"/>
    <w:basedOn w:val="Normal"/>
    <w:uiPriority w:val="34"/>
    <w:qFormat/>
    <w:rsid w:val="00D4502E"/>
    <w:pPr>
      <w:ind w:left="720"/>
      <w:contextualSpacing/>
    </w:pPr>
  </w:style>
  <w:style w:type="paragraph" w:customStyle="1" w:styleId="Body">
    <w:name w:val="Body"/>
    <w:basedOn w:val="Normal"/>
    <w:uiPriority w:val="99"/>
    <w:rsid w:val="000B2DFA"/>
    <w:pPr>
      <w:jc w:val="both"/>
    </w:pPr>
    <w:rPr>
      <w:rFonts w:ascii="Constantia" w:eastAsia="Times New Roman" w:hAnsi="Constantia" w:cs="Constantia"/>
      <w:color w:val="auto"/>
      <w:sz w:val="22"/>
      <w:szCs w:val="22"/>
      <w:lang w:eastAsia="en-AU"/>
    </w:rPr>
  </w:style>
  <w:style w:type="table" w:styleId="TableGrid">
    <w:name w:val="Table Grid"/>
    <w:basedOn w:val="TableNormal"/>
    <w:locked/>
    <w:rsid w:val="000B2DF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locked/>
    <w:rsid w:val="00C763E2"/>
    <w:rPr>
      <w:color w:val="0000FF" w:themeColor="hyperlink"/>
      <w:u w:val="single"/>
    </w:rPr>
  </w:style>
  <w:style w:type="character" w:customStyle="1" w:styleId="Heading2Char">
    <w:name w:val="Heading 2 Char"/>
    <w:basedOn w:val="DefaultParagraphFont"/>
    <w:link w:val="Heading2"/>
    <w:rsid w:val="00D4502E"/>
    <w:rPr>
      <w:rFonts w:asciiTheme="majorHAnsi" w:eastAsiaTheme="majorEastAsia" w:hAnsiTheme="majorHAnsi" w:cstheme="majorBidi"/>
      <w:b/>
      <w:bCs/>
      <w:color w:val="4F81BD" w:themeColor="accent1"/>
      <w:sz w:val="26"/>
      <w:szCs w:val="26"/>
      <w:lang w:eastAsia="en-US"/>
    </w:rPr>
  </w:style>
  <w:style w:type="paragraph" w:styleId="NoSpacing">
    <w:name w:val="No Spacing"/>
    <w:basedOn w:val="Normal"/>
    <w:link w:val="NoSpacingChar"/>
    <w:uiPriority w:val="1"/>
    <w:qFormat/>
    <w:rsid w:val="00D4502E"/>
    <w:rPr>
      <w:rFonts w:asciiTheme="minorHAnsi" w:eastAsiaTheme="minorHAnsi" w:hAnsiTheme="minorHAnsi"/>
      <w:color w:val="auto"/>
      <w:sz w:val="23"/>
      <w:szCs w:val="20"/>
      <w:lang w:val="en-US" w:eastAsia="ja-JP"/>
    </w:rPr>
  </w:style>
  <w:style w:type="paragraph" w:styleId="Title">
    <w:name w:val="Title"/>
    <w:basedOn w:val="Normal"/>
    <w:next w:val="Normal"/>
    <w:link w:val="TitleChar"/>
    <w:uiPriority w:val="10"/>
    <w:qFormat/>
    <w:locked/>
    <w:rsid w:val="00D450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4502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locked/>
    <w:rsid w:val="00D4502E"/>
    <w:pPr>
      <w:numPr>
        <w:ilvl w:val="1"/>
      </w:numPr>
      <w:spacing w:after="200" w:line="276" w:lineRule="auto"/>
    </w:pPr>
    <w:rPr>
      <w:rFonts w:asciiTheme="majorHAnsi" w:eastAsiaTheme="majorEastAsia" w:hAnsiTheme="majorHAnsi" w:cstheme="majorBidi"/>
      <w:i/>
      <w:iCs/>
      <w:color w:val="4F81BD" w:themeColor="accent1"/>
      <w:spacing w:val="15"/>
      <w:lang w:val="en-US" w:eastAsia="ja-JP"/>
    </w:rPr>
  </w:style>
  <w:style w:type="character" w:customStyle="1" w:styleId="SubtitleChar">
    <w:name w:val="Subtitle Char"/>
    <w:basedOn w:val="DefaultParagraphFont"/>
    <w:link w:val="Subtitle"/>
    <w:uiPriority w:val="11"/>
    <w:rsid w:val="00D4502E"/>
    <w:rPr>
      <w:rFonts w:asciiTheme="majorHAnsi" w:eastAsiaTheme="majorEastAsia" w:hAnsiTheme="majorHAnsi" w:cstheme="majorBidi"/>
      <w:i/>
      <w:iCs/>
      <w:color w:val="4F81BD" w:themeColor="accent1"/>
      <w:spacing w:val="15"/>
      <w:sz w:val="24"/>
      <w:szCs w:val="24"/>
      <w:lang w:val="en-US" w:eastAsia="ja-JP"/>
    </w:rPr>
  </w:style>
  <w:style w:type="character" w:customStyle="1" w:styleId="NoSpacingChar">
    <w:name w:val="No Spacing Char"/>
    <w:basedOn w:val="DefaultParagraphFont"/>
    <w:link w:val="NoSpacing"/>
    <w:uiPriority w:val="1"/>
    <w:rsid w:val="00D4502E"/>
    <w:rPr>
      <w:rFonts w:asciiTheme="minorHAnsi" w:eastAsiaTheme="minorHAnsi" w:hAnsiTheme="minorHAnsi"/>
      <w:sz w:val="23"/>
      <w:lang w:val="en-US" w:eastAsia="ja-JP"/>
    </w:rPr>
  </w:style>
  <w:style w:type="character" w:customStyle="1" w:styleId="Heading1Char">
    <w:name w:val="Heading 1 Char"/>
    <w:basedOn w:val="DefaultParagraphFont"/>
    <w:link w:val="Heading1"/>
    <w:rsid w:val="00D4502E"/>
    <w:rPr>
      <w:rFonts w:asciiTheme="majorHAnsi" w:eastAsiaTheme="majorEastAsia" w:hAnsiTheme="majorHAnsi" w:cstheme="majorBidi"/>
      <w:b/>
      <w:bCs/>
      <w:color w:val="4A442A" w:themeColor="background2" w:themeShade="40"/>
      <w:sz w:val="32"/>
      <w:szCs w:val="32"/>
      <w:lang w:eastAsia="en-US"/>
    </w:rPr>
  </w:style>
  <w:style w:type="paragraph" w:styleId="Quote">
    <w:name w:val="Quote"/>
    <w:basedOn w:val="Normal"/>
    <w:next w:val="Normal"/>
    <w:link w:val="QuoteChar"/>
    <w:uiPriority w:val="29"/>
    <w:qFormat/>
    <w:rsid w:val="00D4502E"/>
    <w:rPr>
      <w:i/>
      <w:iCs/>
      <w:color w:val="000000" w:themeColor="text1"/>
    </w:rPr>
  </w:style>
  <w:style w:type="character" w:customStyle="1" w:styleId="QuoteChar">
    <w:name w:val="Quote Char"/>
    <w:basedOn w:val="DefaultParagraphFont"/>
    <w:link w:val="Quote"/>
    <w:uiPriority w:val="29"/>
    <w:rsid w:val="00D4502E"/>
    <w:rPr>
      <w:rFonts w:eastAsia="ヒラギノ角ゴ Pro W3"/>
      <w:i/>
      <w:iCs/>
      <w:color w:val="000000" w:themeColor="text1"/>
      <w:sz w:val="24"/>
      <w:szCs w:val="24"/>
      <w:lang w:eastAsia="en-US"/>
    </w:rPr>
  </w:style>
  <w:style w:type="character" w:styleId="IntenseEmphasis">
    <w:name w:val="Intense Emphasis"/>
    <w:basedOn w:val="DefaultParagraphFont"/>
    <w:uiPriority w:val="21"/>
    <w:qFormat/>
    <w:rsid w:val="00D4502E"/>
    <w:rPr>
      <w:b/>
      <w:bCs/>
      <w:i/>
      <w:iCs/>
      <w:color w:val="4F81BD" w:themeColor="accent1"/>
    </w:rPr>
  </w:style>
  <w:style w:type="paragraph" w:customStyle="1" w:styleId="CurrentBluebookstatisticalhighlights">
    <w:name w:val="Current Blue book statistical highlights"/>
    <w:basedOn w:val="Normal"/>
    <w:rsid w:val="00365099"/>
    <w:pPr>
      <w:widowControl w:val="0"/>
      <w:numPr>
        <w:numId w:val="23"/>
      </w:numPr>
      <w:autoSpaceDE w:val="0"/>
      <w:autoSpaceDN w:val="0"/>
      <w:adjustRightInd w:val="0"/>
      <w:spacing w:before="215" w:line="276" w:lineRule="exact"/>
    </w:pPr>
    <w:rPr>
      <w:rFonts w:eastAsia="Times New Roman"/>
      <w:lang w:eastAsia="en-AU"/>
    </w:rPr>
  </w:style>
  <w:style w:type="paragraph" w:styleId="ListBullet">
    <w:name w:val="List Bullet"/>
    <w:basedOn w:val="BodyText"/>
    <w:locked/>
    <w:rsid w:val="00AC2A4E"/>
    <w:pPr>
      <w:numPr>
        <w:numId w:val="26"/>
      </w:numPr>
      <w:tabs>
        <w:tab w:val="clear" w:pos="340"/>
      </w:tabs>
      <w:spacing w:before="120" w:after="0" w:line="320" w:lineRule="atLeast"/>
      <w:ind w:left="720" w:hanging="360"/>
      <w:jc w:val="both"/>
    </w:pPr>
    <w:rPr>
      <w:rFonts w:eastAsia="Times New Roman"/>
      <w:color w:val="auto"/>
      <w:sz w:val="26"/>
      <w:szCs w:val="20"/>
      <w:lang w:eastAsia="en-AU"/>
    </w:rPr>
  </w:style>
  <w:style w:type="paragraph" w:styleId="BodyText">
    <w:name w:val="Body Text"/>
    <w:basedOn w:val="Normal"/>
    <w:link w:val="BodyTextChar"/>
    <w:locked/>
    <w:rsid w:val="00AC2A4E"/>
    <w:pPr>
      <w:spacing w:after="120"/>
    </w:pPr>
  </w:style>
  <w:style w:type="character" w:customStyle="1" w:styleId="BodyTextChar">
    <w:name w:val="Body Text Char"/>
    <w:basedOn w:val="DefaultParagraphFont"/>
    <w:link w:val="BodyText"/>
    <w:rsid w:val="00AC2A4E"/>
    <w:rPr>
      <w:rFonts w:eastAsia="ヒラギノ角ゴ Pro W3"/>
      <w:color w:val="000000"/>
      <w:sz w:val="24"/>
      <w:szCs w:val="24"/>
      <w:lang w:eastAsia="en-US"/>
    </w:rPr>
  </w:style>
  <w:style w:type="character" w:customStyle="1" w:styleId="articletemplatetext">
    <w:name w:val="articletemplatetext"/>
    <w:basedOn w:val="DefaultParagraphFont"/>
    <w:rsid w:val="006F08BC"/>
  </w:style>
  <w:style w:type="character" w:customStyle="1" w:styleId="01bodybold">
    <w:name w:val="01 body bold"/>
    <w:uiPriority w:val="99"/>
    <w:qFormat/>
    <w:rsid w:val="00D4502E"/>
    <w:rPr>
      <w:rFonts w:ascii="Times New Roman" w:hAnsi="Times New Roman"/>
      <w:b/>
      <w:color w:val="000000"/>
    </w:rPr>
  </w:style>
  <w:style w:type="paragraph" w:customStyle="1" w:styleId="01Tabletext">
    <w:name w:val="01 Table text"/>
    <w:basedOn w:val="Normal"/>
    <w:uiPriority w:val="99"/>
    <w:rsid w:val="00BF5E0F"/>
    <w:pPr>
      <w:spacing w:after="200" w:line="276" w:lineRule="auto"/>
    </w:pPr>
    <w:rPr>
      <w:rFonts w:eastAsiaTheme="minorEastAsia"/>
      <w:color w:val="000000" w:themeColor="text1"/>
      <w:szCs w:val="22"/>
      <w:lang w:val="en-US"/>
    </w:rPr>
  </w:style>
  <w:style w:type="paragraph" w:customStyle="1" w:styleId="NoParagraphStyle">
    <w:name w:val="[No Paragraph Style]"/>
    <w:rsid w:val="00BF5E0F"/>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Heading30">
    <w:name w:val="Heading3"/>
    <w:basedOn w:val="Normal"/>
    <w:rsid w:val="008D6F44"/>
    <w:rPr>
      <w:rFonts w:asciiTheme="minorHAnsi" w:hAnsiTheme="minorHAnsi" w:cstheme="minorHAnsi"/>
      <w:b/>
      <w:sz w:val="22"/>
    </w:rPr>
  </w:style>
  <w:style w:type="paragraph" w:styleId="TOCHeading">
    <w:name w:val="TOC Heading"/>
    <w:basedOn w:val="Heading1"/>
    <w:next w:val="Normal"/>
    <w:uiPriority w:val="39"/>
    <w:semiHidden/>
    <w:unhideWhenUsed/>
    <w:qFormat/>
    <w:rsid w:val="008D6F44"/>
    <w:pPr>
      <w:outlineLvl w:val="9"/>
    </w:pPr>
    <w:rPr>
      <w:color w:val="365F91" w:themeColor="accent1" w:themeShade="BF"/>
      <w:sz w:val="28"/>
      <w:szCs w:val="28"/>
    </w:rPr>
  </w:style>
  <w:style w:type="paragraph" w:styleId="TOC1">
    <w:name w:val="toc 1"/>
    <w:basedOn w:val="Normal"/>
    <w:next w:val="Normal"/>
    <w:autoRedefine/>
    <w:uiPriority w:val="39"/>
    <w:locked/>
    <w:rsid w:val="008D6F44"/>
    <w:pPr>
      <w:spacing w:after="100"/>
    </w:pPr>
  </w:style>
  <w:style w:type="paragraph" w:styleId="TOC2">
    <w:name w:val="toc 2"/>
    <w:basedOn w:val="Normal"/>
    <w:next w:val="Normal"/>
    <w:autoRedefine/>
    <w:uiPriority w:val="39"/>
    <w:locked/>
    <w:rsid w:val="008D6F44"/>
    <w:pPr>
      <w:spacing w:after="100"/>
      <w:ind w:left="240"/>
    </w:pPr>
  </w:style>
  <w:style w:type="paragraph" w:styleId="TOC3">
    <w:name w:val="toc 3"/>
    <w:basedOn w:val="Normal"/>
    <w:next w:val="Normal"/>
    <w:autoRedefine/>
    <w:uiPriority w:val="39"/>
    <w:locked/>
    <w:rsid w:val="008D6F44"/>
    <w:pPr>
      <w:spacing w:after="100"/>
      <w:ind w:left="480"/>
    </w:pPr>
  </w:style>
  <w:style w:type="character" w:styleId="FollowedHyperlink">
    <w:name w:val="FollowedHyperlink"/>
    <w:basedOn w:val="DefaultParagraphFont"/>
    <w:locked/>
    <w:rsid w:val="001E63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320">
      <w:bodyDiv w:val="1"/>
      <w:marLeft w:val="0"/>
      <w:marRight w:val="0"/>
      <w:marTop w:val="0"/>
      <w:marBottom w:val="0"/>
      <w:divBdr>
        <w:top w:val="none" w:sz="0" w:space="0" w:color="auto"/>
        <w:left w:val="none" w:sz="0" w:space="0" w:color="auto"/>
        <w:bottom w:val="none" w:sz="0" w:space="0" w:color="auto"/>
        <w:right w:val="none" w:sz="0" w:space="0" w:color="auto"/>
      </w:divBdr>
    </w:div>
    <w:div w:id="169222107">
      <w:bodyDiv w:val="1"/>
      <w:marLeft w:val="0"/>
      <w:marRight w:val="0"/>
      <w:marTop w:val="0"/>
      <w:marBottom w:val="0"/>
      <w:divBdr>
        <w:top w:val="none" w:sz="0" w:space="0" w:color="auto"/>
        <w:left w:val="none" w:sz="0" w:space="0" w:color="auto"/>
        <w:bottom w:val="none" w:sz="0" w:space="0" w:color="auto"/>
        <w:right w:val="none" w:sz="0" w:space="0" w:color="auto"/>
      </w:divBdr>
    </w:div>
    <w:div w:id="177281517">
      <w:bodyDiv w:val="1"/>
      <w:marLeft w:val="0"/>
      <w:marRight w:val="0"/>
      <w:marTop w:val="0"/>
      <w:marBottom w:val="0"/>
      <w:divBdr>
        <w:top w:val="none" w:sz="0" w:space="0" w:color="auto"/>
        <w:left w:val="none" w:sz="0" w:space="0" w:color="auto"/>
        <w:bottom w:val="none" w:sz="0" w:space="0" w:color="auto"/>
        <w:right w:val="none" w:sz="0" w:space="0" w:color="auto"/>
      </w:divBdr>
    </w:div>
    <w:div w:id="399712332">
      <w:bodyDiv w:val="1"/>
      <w:marLeft w:val="0"/>
      <w:marRight w:val="0"/>
      <w:marTop w:val="0"/>
      <w:marBottom w:val="0"/>
      <w:divBdr>
        <w:top w:val="none" w:sz="0" w:space="0" w:color="auto"/>
        <w:left w:val="none" w:sz="0" w:space="0" w:color="auto"/>
        <w:bottom w:val="none" w:sz="0" w:space="0" w:color="auto"/>
        <w:right w:val="none" w:sz="0" w:space="0" w:color="auto"/>
      </w:divBdr>
    </w:div>
    <w:div w:id="422922083">
      <w:bodyDiv w:val="1"/>
      <w:marLeft w:val="0"/>
      <w:marRight w:val="0"/>
      <w:marTop w:val="0"/>
      <w:marBottom w:val="0"/>
      <w:divBdr>
        <w:top w:val="none" w:sz="0" w:space="0" w:color="auto"/>
        <w:left w:val="none" w:sz="0" w:space="0" w:color="auto"/>
        <w:bottom w:val="none" w:sz="0" w:space="0" w:color="auto"/>
        <w:right w:val="none" w:sz="0" w:space="0" w:color="auto"/>
      </w:divBdr>
      <w:divsChild>
        <w:div w:id="1503661838">
          <w:marLeft w:val="0"/>
          <w:marRight w:val="0"/>
          <w:marTop w:val="0"/>
          <w:marBottom w:val="0"/>
          <w:divBdr>
            <w:top w:val="none" w:sz="0" w:space="0" w:color="auto"/>
            <w:left w:val="none" w:sz="0" w:space="0" w:color="auto"/>
            <w:bottom w:val="none" w:sz="0" w:space="0" w:color="auto"/>
            <w:right w:val="none" w:sz="0" w:space="0" w:color="auto"/>
          </w:divBdr>
          <w:divsChild>
            <w:div w:id="1686519981">
              <w:marLeft w:val="0"/>
              <w:marRight w:val="0"/>
              <w:marTop w:val="0"/>
              <w:marBottom w:val="0"/>
              <w:divBdr>
                <w:top w:val="none" w:sz="0" w:space="0" w:color="auto"/>
                <w:left w:val="none" w:sz="0" w:space="0" w:color="auto"/>
                <w:bottom w:val="none" w:sz="0" w:space="0" w:color="auto"/>
                <w:right w:val="none" w:sz="0" w:space="0" w:color="auto"/>
              </w:divBdr>
              <w:divsChild>
                <w:div w:id="939221939">
                  <w:marLeft w:val="0"/>
                  <w:marRight w:val="0"/>
                  <w:marTop w:val="0"/>
                  <w:marBottom w:val="0"/>
                  <w:divBdr>
                    <w:top w:val="none" w:sz="0" w:space="0" w:color="auto"/>
                    <w:left w:val="none" w:sz="0" w:space="0" w:color="auto"/>
                    <w:bottom w:val="none" w:sz="0" w:space="0" w:color="auto"/>
                    <w:right w:val="none" w:sz="0" w:space="0" w:color="auto"/>
                  </w:divBdr>
                  <w:divsChild>
                    <w:div w:id="1441996807">
                      <w:marLeft w:val="0"/>
                      <w:marRight w:val="0"/>
                      <w:marTop w:val="0"/>
                      <w:marBottom w:val="0"/>
                      <w:divBdr>
                        <w:top w:val="none" w:sz="0" w:space="0" w:color="auto"/>
                        <w:left w:val="none" w:sz="0" w:space="0" w:color="auto"/>
                        <w:bottom w:val="none" w:sz="0" w:space="0" w:color="auto"/>
                        <w:right w:val="none" w:sz="0" w:space="0" w:color="auto"/>
                      </w:divBdr>
                      <w:divsChild>
                        <w:div w:id="192546532">
                          <w:marLeft w:val="0"/>
                          <w:marRight w:val="0"/>
                          <w:marTop w:val="0"/>
                          <w:marBottom w:val="0"/>
                          <w:divBdr>
                            <w:top w:val="none" w:sz="0" w:space="0" w:color="auto"/>
                            <w:left w:val="none" w:sz="0" w:space="0" w:color="auto"/>
                            <w:bottom w:val="none" w:sz="0" w:space="0" w:color="auto"/>
                            <w:right w:val="none" w:sz="0" w:space="0" w:color="auto"/>
                          </w:divBdr>
                          <w:divsChild>
                            <w:div w:id="130637270">
                              <w:marLeft w:val="0"/>
                              <w:marRight w:val="0"/>
                              <w:marTop w:val="0"/>
                              <w:marBottom w:val="0"/>
                              <w:divBdr>
                                <w:top w:val="none" w:sz="0" w:space="0" w:color="auto"/>
                                <w:left w:val="none" w:sz="0" w:space="0" w:color="auto"/>
                                <w:bottom w:val="none" w:sz="0" w:space="0" w:color="auto"/>
                                <w:right w:val="none" w:sz="0" w:space="0" w:color="auto"/>
                              </w:divBdr>
                              <w:divsChild>
                                <w:div w:id="1907302949">
                                  <w:marLeft w:val="0"/>
                                  <w:marRight w:val="0"/>
                                  <w:marTop w:val="0"/>
                                  <w:marBottom w:val="0"/>
                                  <w:divBdr>
                                    <w:top w:val="none" w:sz="0" w:space="0" w:color="auto"/>
                                    <w:left w:val="none" w:sz="0" w:space="0" w:color="auto"/>
                                    <w:bottom w:val="none" w:sz="0" w:space="0" w:color="auto"/>
                                    <w:right w:val="none" w:sz="0" w:space="0" w:color="auto"/>
                                  </w:divBdr>
                                  <w:divsChild>
                                    <w:div w:id="1147747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83850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100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863933">
      <w:bodyDiv w:val="1"/>
      <w:marLeft w:val="0"/>
      <w:marRight w:val="0"/>
      <w:marTop w:val="0"/>
      <w:marBottom w:val="0"/>
      <w:divBdr>
        <w:top w:val="none" w:sz="0" w:space="0" w:color="auto"/>
        <w:left w:val="none" w:sz="0" w:space="0" w:color="auto"/>
        <w:bottom w:val="none" w:sz="0" w:space="0" w:color="auto"/>
        <w:right w:val="none" w:sz="0" w:space="0" w:color="auto"/>
      </w:divBdr>
    </w:div>
    <w:div w:id="563952641">
      <w:bodyDiv w:val="1"/>
      <w:marLeft w:val="0"/>
      <w:marRight w:val="0"/>
      <w:marTop w:val="0"/>
      <w:marBottom w:val="0"/>
      <w:divBdr>
        <w:top w:val="none" w:sz="0" w:space="0" w:color="auto"/>
        <w:left w:val="none" w:sz="0" w:space="0" w:color="auto"/>
        <w:bottom w:val="none" w:sz="0" w:space="0" w:color="auto"/>
        <w:right w:val="none" w:sz="0" w:space="0" w:color="auto"/>
      </w:divBdr>
      <w:divsChild>
        <w:div w:id="238563599">
          <w:marLeft w:val="0"/>
          <w:marRight w:val="0"/>
          <w:marTop w:val="0"/>
          <w:marBottom w:val="0"/>
          <w:divBdr>
            <w:top w:val="none" w:sz="0" w:space="0" w:color="auto"/>
            <w:left w:val="none" w:sz="0" w:space="0" w:color="auto"/>
            <w:bottom w:val="none" w:sz="0" w:space="0" w:color="auto"/>
            <w:right w:val="none" w:sz="0" w:space="0" w:color="auto"/>
          </w:divBdr>
        </w:div>
      </w:divsChild>
    </w:div>
    <w:div w:id="741492752">
      <w:bodyDiv w:val="1"/>
      <w:marLeft w:val="0"/>
      <w:marRight w:val="0"/>
      <w:marTop w:val="0"/>
      <w:marBottom w:val="0"/>
      <w:divBdr>
        <w:top w:val="none" w:sz="0" w:space="0" w:color="auto"/>
        <w:left w:val="none" w:sz="0" w:space="0" w:color="auto"/>
        <w:bottom w:val="none" w:sz="0" w:space="0" w:color="auto"/>
        <w:right w:val="none" w:sz="0" w:space="0" w:color="auto"/>
      </w:divBdr>
    </w:div>
    <w:div w:id="1041587925">
      <w:bodyDiv w:val="1"/>
      <w:marLeft w:val="0"/>
      <w:marRight w:val="0"/>
      <w:marTop w:val="0"/>
      <w:marBottom w:val="0"/>
      <w:divBdr>
        <w:top w:val="none" w:sz="0" w:space="0" w:color="auto"/>
        <w:left w:val="none" w:sz="0" w:space="0" w:color="auto"/>
        <w:bottom w:val="none" w:sz="0" w:space="0" w:color="auto"/>
        <w:right w:val="none" w:sz="0" w:space="0" w:color="auto"/>
      </w:divBdr>
    </w:div>
    <w:div w:id="1556772834">
      <w:bodyDiv w:val="1"/>
      <w:marLeft w:val="0"/>
      <w:marRight w:val="0"/>
      <w:marTop w:val="0"/>
      <w:marBottom w:val="0"/>
      <w:divBdr>
        <w:top w:val="none" w:sz="0" w:space="0" w:color="auto"/>
        <w:left w:val="none" w:sz="0" w:space="0" w:color="auto"/>
        <w:bottom w:val="none" w:sz="0" w:space="0" w:color="auto"/>
        <w:right w:val="none" w:sz="0" w:space="0" w:color="auto"/>
      </w:divBdr>
    </w:div>
    <w:div w:id="1566331607">
      <w:bodyDiv w:val="1"/>
      <w:marLeft w:val="0"/>
      <w:marRight w:val="0"/>
      <w:marTop w:val="0"/>
      <w:marBottom w:val="0"/>
      <w:divBdr>
        <w:top w:val="none" w:sz="0" w:space="0" w:color="auto"/>
        <w:left w:val="none" w:sz="0" w:space="0" w:color="auto"/>
        <w:bottom w:val="none" w:sz="0" w:space="0" w:color="auto"/>
        <w:right w:val="none" w:sz="0" w:space="0" w:color="auto"/>
      </w:divBdr>
    </w:div>
    <w:div w:id="1586308250">
      <w:bodyDiv w:val="1"/>
      <w:marLeft w:val="0"/>
      <w:marRight w:val="0"/>
      <w:marTop w:val="0"/>
      <w:marBottom w:val="0"/>
      <w:divBdr>
        <w:top w:val="none" w:sz="0" w:space="0" w:color="auto"/>
        <w:left w:val="none" w:sz="0" w:space="0" w:color="auto"/>
        <w:bottom w:val="none" w:sz="0" w:space="0" w:color="auto"/>
        <w:right w:val="none" w:sz="0" w:space="0" w:color="auto"/>
      </w:divBdr>
    </w:div>
    <w:div w:id="1620720438">
      <w:bodyDiv w:val="1"/>
      <w:marLeft w:val="0"/>
      <w:marRight w:val="0"/>
      <w:marTop w:val="0"/>
      <w:marBottom w:val="0"/>
      <w:divBdr>
        <w:top w:val="none" w:sz="0" w:space="0" w:color="auto"/>
        <w:left w:val="none" w:sz="0" w:space="0" w:color="auto"/>
        <w:bottom w:val="none" w:sz="0" w:space="0" w:color="auto"/>
        <w:right w:val="none" w:sz="0" w:space="0" w:color="auto"/>
      </w:divBdr>
    </w:div>
    <w:div w:id="1747536436">
      <w:bodyDiv w:val="1"/>
      <w:marLeft w:val="0"/>
      <w:marRight w:val="0"/>
      <w:marTop w:val="0"/>
      <w:marBottom w:val="0"/>
      <w:divBdr>
        <w:top w:val="none" w:sz="0" w:space="0" w:color="auto"/>
        <w:left w:val="none" w:sz="0" w:space="0" w:color="auto"/>
        <w:bottom w:val="none" w:sz="0" w:space="0" w:color="auto"/>
        <w:right w:val="none" w:sz="0" w:space="0" w:color="auto"/>
      </w:divBdr>
    </w:div>
    <w:div w:id="1818375616">
      <w:bodyDiv w:val="1"/>
      <w:marLeft w:val="0"/>
      <w:marRight w:val="0"/>
      <w:marTop w:val="0"/>
      <w:marBottom w:val="0"/>
      <w:divBdr>
        <w:top w:val="none" w:sz="0" w:space="0" w:color="auto"/>
        <w:left w:val="none" w:sz="0" w:space="0" w:color="auto"/>
        <w:bottom w:val="none" w:sz="0" w:space="0" w:color="auto"/>
        <w:right w:val="none" w:sz="0" w:space="0" w:color="auto"/>
      </w:divBdr>
    </w:div>
    <w:div w:id="1974555214">
      <w:bodyDiv w:val="1"/>
      <w:marLeft w:val="0"/>
      <w:marRight w:val="0"/>
      <w:marTop w:val="0"/>
      <w:marBottom w:val="0"/>
      <w:divBdr>
        <w:top w:val="none" w:sz="0" w:space="0" w:color="auto"/>
        <w:left w:val="none" w:sz="0" w:space="0" w:color="auto"/>
        <w:bottom w:val="none" w:sz="0" w:space="0" w:color="auto"/>
        <w:right w:val="none" w:sz="0" w:space="0" w:color="auto"/>
      </w:divBdr>
    </w:div>
    <w:div w:id="2032682098">
      <w:bodyDiv w:val="1"/>
      <w:marLeft w:val="0"/>
      <w:marRight w:val="0"/>
      <w:marTop w:val="0"/>
      <w:marBottom w:val="0"/>
      <w:divBdr>
        <w:top w:val="none" w:sz="0" w:space="0" w:color="auto"/>
        <w:left w:val="none" w:sz="0" w:space="0" w:color="auto"/>
        <w:bottom w:val="none" w:sz="0" w:space="0" w:color="auto"/>
        <w:right w:val="none" w:sz="0" w:space="0" w:color="auto"/>
      </w:divBdr>
    </w:div>
    <w:div w:id="2050374989">
      <w:bodyDiv w:val="1"/>
      <w:marLeft w:val="0"/>
      <w:marRight w:val="0"/>
      <w:marTop w:val="0"/>
      <w:marBottom w:val="0"/>
      <w:divBdr>
        <w:top w:val="none" w:sz="0" w:space="0" w:color="auto"/>
        <w:left w:val="none" w:sz="0" w:space="0" w:color="auto"/>
        <w:bottom w:val="none" w:sz="0" w:space="0" w:color="auto"/>
        <w:right w:val="none" w:sz="0" w:space="0" w:color="auto"/>
      </w:divBdr>
    </w:div>
    <w:div w:id="2074739439">
      <w:bodyDiv w:val="1"/>
      <w:marLeft w:val="0"/>
      <w:marRight w:val="0"/>
      <w:marTop w:val="0"/>
      <w:marBottom w:val="0"/>
      <w:divBdr>
        <w:top w:val="none" w:sz="0" w:space="0" w:color="auto"/>
        <w:left w:val="none" w:sz="0" w:space="0" w:color="auto"/>
        <w:bottom w:val="none" w:sz="0" w:space="0" w:color="auto"/>
        <w:right w:val="none" w:sz="0" w:space="0" w:color="auto"/>
      </w:divBdr>
    </w:div>
    <w:div w:id="2118408201">
      <w:bodyDiv w:val="1"/>
      <w:marLeft w:val="0"/>
      <w:marRight w:val="0"/>
      <w:marTop w:val="0"/>
      <w:marBottom w:val="0"/>
      <w:divBdr>
        <w:top w:val="none" w:sz="0" w:space="0" w:color="auto"/>
        <w:left w:val="none" w:sz="0" w:space="0" w:color="auto"/>
        <w:bottom w:val="none" w:sz="0" w:space="0" w:color="auto"/>
        <w:right w:val="none" w:sz="0" w:space="0" w:color="auto"/>
      </w:divBdr>
    </w:div>
    <w:div w:id="2139029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ustraliansforaffordablehousing.cmail2.com/t/r-l-kkdtjrt-allkriye-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elfarerights.org.au/news/2013/3/27/jobseeker-compliance-arrangements" TargetMode="External"/><Relationship Id="rId1" Type="http://schemas.openxmlformats.org/officeDocument/2006/relationships/hyperlink" Target="https://www.welfarerights.org.au/news/2013/3/22/employment-service-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National Welfare Rights Network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AB470F-F91C-4580-BDC9-816E805D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10011</Words>
  <Characters>57067</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2014-15 Federal Budget Submission</vt:lpstr>
    </vt:vector>
  </TitlesOfParts>
  <Company/>
  <LinksUpToDate>false</LinksUpToDate>
  <CharactersWithSpaces>66945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 Federal Budget Submission</dc:title>
  <dc:creator>Gerard Thomas</dc:creator>
  <cp:lastModifiedBy>Amie Meers</cp:lastModifiedBy>
  <cp:revision>2</cp:revision>
  <cp:lastPrinted>2014-02-03T02:31:00Z</cp:lastPrinted>
  <dcterms:created xsi:type="dcterms:W3CDTF">2014-02-11T01:48:00Z</dcterms:created>
  <dcterms:modified xsi:type="dcterms:W3CDTF">2014-02-11T01:48:00Z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1254273113</vt:i4>
  </property>
</Properties>
</file>