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Default Extension="wdp" ContentType="image/vnd.ms-photo"/>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5CD" w:rsidRDefault="001175CD" w:rsidP="001175CD">
      <w:pPr>
        <w:jc w:val="both"/>
        <w:rPr>
          <w:rFonts w:ascii="Futura-Light" w:hAnsi="Futura-Light"/>
          <w:color w:val="808000"/>
          <w:sz w:val="18"/>
        </w:rPr>
      </w:pPr>
    </w:p>
    <w:p w:rsidR="00FB1771" w:rsidRDefault="00FB1771" w:rsidP="001175CD">
      <w:pPr>
        <w:jc w:val="both"/>
        <w:rPr>
          <w:rFonts w:ascii="Futura-Light" w:hAnsi="Futura-Light"/>
          <w:color w:val="808000"/>
          <w:sz w:val="18"/>
        </w:rPr>
      </w:pPr>
    </w:p>
    <w:p w:rsidR="001175CD" w:rsidRPr="00FF5DE6" w:rsidRDefault="00543317" w:rsidP="001175CD">
      <w:pPr>
        <w:jc w:val="both"/>
        <w:rPr>
          <w:rFonts w:ascii="Calibri" w:hAnsi="Calibri" w:cs="Calibri"/>
          <w:color w:val="4A442A"/>
          <w:sz w:val="36"/>
          <w:szCs w:val="36"/>
        </w:rPr>
      </w:pPr>
      <w:r>
        <w:rPr>
          <w:noProof/>
          <w:lang w:eastAsia="en-AU"/>
        </w:rPr>
        <w:drawing>
          <wp:inline distT="0" distB="0" distL="0" distR="0" wp14:anchorId="48D85D11" wp14:editId="2F772E1E">
            <wp:extent cx="1456055" cy="800100"/>
            <wp:effectExtent l="0" t="0" r="0" b="0"/>
            <wp:docPr id="10" name="Picture 10" descr="C:\Users\Catalina\Desktop\nwrnlogo tiff.tif"/>
            <wp:cNvGraphicFramePr/>
            <a:graphic xmlns:a="http://schemas.openxmlformats.org/drawingml/2006/main">
              <a:graphicData uri="http://schemas.openxmlformats.org/drawingml/2006/picture">
                <pic:pic xmlns:pic="http://schemas.openxmlformats.org/drawingml/2006/picture">
                  <pic:nvPicPr>
                    <pic:cNvPr id="10" name="Picture 10" descr="C:\Users\Catalina\Desktop\nwrnlogo tiff.tif"/>
                    <pic:cNvPicPr/>
                  </pic:nvPicPr>
                  <pic:blipFill>
                    <a:blip r:embed="rId9">
                      <a:extLst>
                        <a:ext uri="{BEBA8EAE-BF5A-486C-A8C5-ECC9F3942E4B}">
                          <a14:imgProps xmlns:a14="http://schemas.microsoft.com/office/drawing/2010/main">
                            <a14:imgLayer r:embed="rId10">
                              <a14:imgEffect>
                                <a14:sharpenSoften amount="50000"/>
                              </a14:imgEffect>
                              <a14:imgEffect>
                                <a14:colorTemperature colorTemp="112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456055" cy="800100"/>
                    </a:xfrm>
                    <a:prstGeom prst="rect">
                      <a:avLst/>
                    </a:prstGeom>
                    <a:noFill/>
                    <a:ln>
                      <a:noFill/>
                    </a:ln>
                  </pic:spPr>
                </pic:pic>
              </a:graphicData>
            </a:graphic>
          </wp:inline>
        </w:drawing>
      </w:r>
    </w:p>
    <w:p w:rsidR="00212CD5" w:rsidRDefault="00314A45" w:rsidP="00212CD5">
      <w:pPr>
        <w:jc w:val="both"/>
        <w:rPr>
          <w:rFonts w:ascii="Futura-Light" w:hAnsi="Futura-Light"/>
          <w:color w:val="808000"/>
          <w:sz w:val="18"/>
        </w:rPr>
      </w:pPr>
      <w:r>
        <w:rPr>
          <w:rFonts w:ascii="Futura-Light" w:hAnsi="Futura-Light"/>
          <w:noProof/>
          <w:color w:val="808000"/>
          <w:sz w:val="18"/>
          <w:lang w:eastAsia="en-AU"/>
        </w:rPr>
        <mc:AlternateContent>
          <mc:Choice Requires="wps">
            <w:drawing>
              <wp:inline distT="0" distB="0" distL="0" distR="0" wp14:anchorId="35E8665A" wp14:editId="2FAB66EF">
                <wp:extent cx="1314450" cy="71437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1445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03.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" filled="f" stroked="f">
                <o:lock v:ext="edit" aspectratio="t"/>
                <w10:anchorlock/>
              </v:rect>
            </w:pict>
          </mc:Fallback>
        </mc:AlternateContent>
      </w:r>
    </w:p>
    <w:p w:rsidR="00212CD5" w:rsidRDefault="00212CD5" w:rsidP="00212CD5">
      <w:pPr>
        <w:jc w:val="both"/>
        <w:rPr>
          <w:rFonts w:ascii="Futura-Light" w:hAnsi="Futura-Light"/>
          <w:color w:val="808000"/>
          <w:sz w:val="18"/>
        </w:rPr>
      </w:pPr>
    </w:p>
    <w:p w:rsidR="00212CD5" w:rsidRDefault="00212CD5" w:rsidP="00212CD5">
      <w:pPr>
        <w:jc w:val="both"/>
        <w:rPr>
          <w:rFonts w:ascii="Calibri" w:hAnsi="Calibri" w:cs="Calibri"/>
          <w:color w:val="4A442A"/>
          <w:sz w:val="36"/>
          <w:szCs w:val="36"/>
        </w:rPr>
      </w:pPr>
    </w:p>
    <w:p w:rsidR="00212CD5" w:rsidRDefault="00212CD5" w:rsidP="00212CD5">
      <w:pPr>
        <w:jc w:val="center"/>
        <w:rPr>
          <w:rFonts w:ascii="Calibri" w:hAnsi="Calibri" w:cs="Calibri"/>
          <w:color w:val="4A442A"/>
          <w:sz w:val="36"/>
          <w:szCs w:val="36"/>
        </w:rPr>
      </w:pPr>
    </w:p>
    <w:p w:rsidR="00212CD5" w:rsidRPr="00E27920" w:rsidRDefault="00212CD5" w:rsidP="00212CD5">
      <w:pPr>
        <w:jc w:val="center"/>
        <w:rPr>
          <w:rFonts w:asciiTheme="majorHAnsi" w:hAnsiTheme="majorHAnsi" w:cs="Calibri"/>
          <w:b/>
          <w:color w:val="4A442A"/>
          <w:sz w:val="54"/>
          <w:szCs w:val="36"/>
        </w:rPr>
      </w:pPr>
      <w:r w:rsidRPr="00E27920">
        <w:rPr>
          <w:rFonts w:asciiTheme="majorHAnsi" w:hAnsiTheme="majorHAnsi" w:cs="Calibri"/>
          <w:b/>
          <w:color w:val="4A442A"/>
          <w:sz w:val="54"/>
          <w:szCs w:val="36"/>
        </w:rPr>
        <w:t xml:space="preserve">Supporting better </w:t>
      </w:r>
      <w:proofErr w:type="spellStart"/>
      <w:r w:rsidRPr="00E27920">
        <w:rPr>
          <w:rFonts w:asciiTheme="majorHAnsi" w:hAnsiTheme="majorHAnsi" w:cs="Calibri"/>
          <w:b/>
          <w:color w:val="4A442A"/>
          <w:sz w:val="54"/>
          <w:szCs w:val="36"/>
        </w:rPr>
        <w:t>Centrelink</w:t>
      </w:r>
      <w:proofErr w:type="spellEnd"/>
      <w:r w:rsidRPr="00E27920">
        <w:rPr>
          <w:rFonts w:asciiTheme="majorHAnsi" w:hAnsiTheme="majorHAnsi" w:cs="Calibri"/>
          <w:b/>
          <w:color w:val="4A442A"/>
          <w:sz w:val="54"/>
          <w:szCs w:val="36"/>
        </w:rPr>
        <w:t xml:space="preserve"> services</w:t>
      </w:r>
      <w:r w:rsidR="00DE1A11">
        <w:rPr>
          <w:rFonts w:asciiTheme="majorHAnsi" w:hAnsiTheme="majorHAnsi" w:cs="Calibri"/>
          <w:b/>
          <w:color w:val="4A442A"/>
          <w:sz w:val="54"/>
          <w:szCs w:val="36"/>
        </w:rPr>
        <w:t xml:space="preserve"> for Australians </w:t>
      </w:r>
    </w:p>
    <w:p w:rsidR="00212CD5" w:rsidRPr="00E27920" w:rsidRDefault="00212CD5" w:rsidP="00212CD5">
      <w:pPr>
        <w:jc w:val="center"/>
        <w:rPr>
          <w:rFonts w:asciiTheme="majorHAnsi" w:hAnsiTheme="majorHAnsi" w:cs="Calibri"/>
          <w:b/>
          <w:color w:val="4A442A"/>
          <w:sz w:val="36"/>
          <w:szCs w:val="36"/>
        </w:rPr>
      </w:pPr>
    </w:p>
    <w:p w:rsidR="00212CD5" w:rsidRPr="00E27920" w:rsidRDefault="00212CD5" w:rsidP="00212CD5">
      <w:pPr>
        <w:jc w:val="center"/>
        <w:rPr>
          <w:rFonts w:asciiTheme="majorHAnsi" w:hAnsiTheme="majorHAnsi" w:cs="Calibri"/>
          <w:b/>
          <w:color w:val="4A442A"/>
          <w:sz w:val="36"/>
          <w:szCs w:val="36"/>
        </w:rPr>
      </w:pPr>
    </w:p>
    <w:p w:rsidR="00212CD5" w:rsidRPr="00E27920" w:rsidRDefault="00212CD5" w:rsidP="00212CD5">
      <w:pPr>
        <w:jc w:val="center"/>
        <w:rPr>
          <w:rFonts w:asciiTheme="majorHAnsi" w:hAnsiTheme="majorHAnsi" w:cs="Calibri"/>
          <w:b/>
          <w:color w:val="4A442A"/>
          <w:sz w:val="36"/>
          <w:szCs w:val="36"/>
        </w:rPr>
      </w:pPr>
    </w:p>
    <w:p w:rsidR="00212CD5" w:rsidRPr="00E27920" w:rsidRDefault="00212CD5" w:rsidP="00212CD5">
      <w:pPr>
        <w:jc w:val="center"/>
        <w:rPr>
          <w:rFonts w:asciiTheme="majorHAnsi" w:hAnsiTheme="majorHAnsi" w:cs="Calibri"/>
          <w:b/>
          <w:color w:val="4A442A"/>
          <w:sz w:val="36"/>
          <w:szCs w:val="36"/>
        </w:rPr>
      </w:pPr>
    </w:p>
    <w:p w:rsidR="00212CD5" w:rsidRPr="00E27920" w:rsidRDefault="00212CD5" w:rsidP="00212CD5">
      <w:pPr>
        <w:jc w:val="center"/>
        <w:rPr>
          <w:rFonts w:asciiTheme="majorHAnsi" w:hAnsiTheme="majorHAnsi" w:cs="Calibri"/>
          <w:b/>
          <w:color w:val="4A442A"/>
          <w:sz w:val="36"/>
          <w:szCs w:val="36"/>
        </w:rPr>
      </w:pPr>
    </w:p>
    <w:p w:rsidR="00212CD5" w:rsidRPr="00E27920" w:rsidRDefault="00212CD5" w:rsidP="00543317">
      <w:pPr>
        <w:pBdr>
          <w:bottom w:val="single" w:sz="4" w:space="1" w:color="4A442A" w:themeColor="background2" w:themeShade="40"/>
        </w:pBdr>
        <w:jc w:val="center"/>
        <w:rPr>
          <w:rFonts w:asciiTheme="majorHAnsi" w:hAnsiTheme="majorHAnsi" w:cs="Calibri"/>
          <w:b/>
          <w:color w:val="4A442A"/>
          <w:sz w:val="36"/>
          <w:szCs w:val="36"/>
        </w:rPr>
      </w:pPr>
      <w:bookmarkStart w:id="0" w:name="_GoBack"/>
      <w:r w:rsidRPr="00E27920">
        <w:rPr>
          <w:rFonts w:asciiTheme="majorHAnsi" w:hAnsiTheme="majorHAnsi" w:cs="Calibri"/>
          <w:b/>
          <w:color w:val="4A442A"/>
          <w:sz w:val="36"/>
          <w:szCs w:val="36"/>
        </w:rPr>
        <w:t>2012-13 Federal Budget</w:t>
      </w:r>
      <w:r w:rsidR="00B40515">
        <w:rPr>
          <w:rFonts w:asciiTheme="majorHAnsi" w:hAnsiTheme="majorHAnsi" w:cs="Calibri"/>
          <w:b/>
          <w:color w:val="4A442A"/>
          <w:sz w:val="36"/>
          <w:szCs w:val="36"/>
        </w:rPr>
        <w:t xml:space="preserve"> Submission</w:t>
      </w:r>
      <w:r w:rsidRPr="00E27920">
        <w:rPr>
          <w:rFonts w:asciiTheme="majorHAnsi" w:hAnsiTheme="majorHAnsi" w:cs="Calibri"/>
          <w:b/>
          <w:color w:val="4A442A"/>
          <w:sz w:val="36"/>
          <w:szCs w:val="36"/>
        </w:rPr>
        <w:t xml:space="preserve"> </w:t>
      </w:r>
      <w:r w:rsidR="00E17883">
        <w:rPr>
          <w:rFonts w:asciiTheme="majorHAnsi" w:hAnsiTheme="majorHAnsi" w:cs="Calibri"/>
          <w:b/>
          <w:color w:val="4A442A"/>
          <w:sz w:val="36"/>
          <w:szCs w:val="36"/>
        </w:rPr>
        <w:t>aimed at assisting vulnerable</w:t>
      </w:r>
      <w:r w:rsidRPr="00E27920">
        <w:rPr>
          <w:rFonts w:asciiTheme="majorHAnsi" w:hAnsiTheme="majorHAnsi" w:cs="Calibri"/>
          <w:b/>
          <w:color w:val="4A442A"/>
          <w:sz w:val="36"/>
          <w:szCs w:val="36"/>
        </w:rPr>
        <w:t xml:space="preserve"> Australians</w:t>
      </w:r>
      <w:r w:rsidR="00E17883">
        <w:rPr>
          <w:rFonts w:asciiTheme="majorHAnsi" w:hAnsiTheme="majorHAnsi" w:cs="Calibri"/>
          <w:b/>
          <w:color w:val="4A442A"/>
          <w:sz w:val="36"/>
          <w:szCs w:val="36"/>
        </w:rPr>
        <w:t>, and others,</w:t>
      </w:r>
      <w:r w:rsidRPr="00E27920">
        <w:rPr>
          <w:rFonts w:asciiTheme="majorHAnsi" w:hAnsiTheme="majorHAnsi" w:cs="Calibri"/>
          <w:b/>
          <w:color w:val="4A442A"/>
          <w:sz w:val="36"/>
          <w:szCs w:val="36"/>
        </w:rPr>
        <w:t xml:space="preserve"> in their dealings with </w:t>
      </w:r>
      <w:proofErr w:type="spellStart"/>
      <w:r w:rsidRPr="00E27920">
        <w:rPr>
          <w:rFonts w:asciiTheme="majorHAnsi" w:hAnsiTheme="majorHAnsi" w:cs="Calibri"/>
          <w:b/>
          <w:color w:val="4A442A"/>
          <w:sz w:val="36"/>
          <w:szCs w:val="36"/>
        </w:rPr>
        <w:t>Centrelink</w:t>
      </w:r>
      <w:proofErr w:type="spellEnd"/>
      <w:r w:rsidRPr="00E27920">
        <w:rPr>
          <w:rFonts w:asciiTheme="majorHAnsi" w:hAnsiTheme="majorHAnsi" w:cs="Calibri"/>
          <w:b/>
          <w:color w:val="4A442A"/>
          <w:sz w:val="36"/>
          <w:szCs w:val="36"/>
        </w:rPr>
        <w:t xml:space="preserve"> and </w:t>
      </w:r>
      <w:r w:rsidR="00E17883">
        <w:rPr>
          <w:rFonts w:asciiTheme="majorHAnsi" w:hAnsiTheme="majorHAnsi" w:cs="Calibri"/>
          <w:b/>
          <w:color w:val="4A442A"/>
          <w:sz w:val="36"/>
          <w:szCs w:val="36"/>
        </w:rPr>
        <w:t>enhancing</w:t>
      </w:r>
      <w:r w:rsidRPr="00E27920">
        <w:rPr>
          <w:rFonts w:asciiTheme="majorHAnsi" w:hAnsiTheme="majorHAnsi" w:cs="Calibri"/>
          <w:b/>
          <w:color w:val="4A442A"/>
          <w:sz w:val="36"/>
          <w:szCs w:val="36"/>
        </w:rPr>
        <w:t xml:space="preserve"> the quality of Government services</w:t>
      </w:r>
    </w:p>
    <w:bookmarkEnd w:id="0"/>
    <w:p w:rsidR="00212CD5" w:rsidRPr="00E27920" w:rsidRDefault="00212CD5" w:rsidP="00212CD5">
      <w:pPr>
        <w:jc w:val="center"/>
        <w:rPr>
          <w:rFonts w:asciiTheme="majorHAnsi" w:hAnsiTheme="majorHAnsi" w:cs="Calibri"/>
          <w:b/>
          <w:color w:val="4A442A"/>
          <w:sz w:val="32"/>
          <w:szCs w:val="32"/>
        </w:rPr>
      </w:pPr>
    </w:p>
    <w:p w:rsidR="00212CD5" w:rsidRPr="00E27920" w:rsidRDefault="00212CD5" w:rsidP="00212CD5">
      <w:pPr>
        <w:jc w:val="center"/>
        <w:rPr>
          <w:rFonts w:asciiTheme="majorHAnsi" w:hAnsiTheme="majorHAnsi" w:cs="Calibri"/>
          <w:b/>
          <w:color w:val="4A442A"/>
          <w:sz w:val="36"/>
          <w:szCs w:val="36"/>
        </w:rPr>
      </w:pPr>
    </w:p>
    <w:p w:rsidR="00212CD5" w:rsidRPr="00E27920" w:rsidRDefault="00212CD5" w:rsidP="00212CD5">
      <w:pPr>
        <w:jc w:val="center"/>
        <w:rPr>
          <w:rFonts w:asciiTheme="majorHAnsi" w:hAnsiTheme="majorHAnsi" w:cs="Calibri"/>
          <w:b/>
          <w:color w:val="4A442A"/>
          <w:sz w:val="36"/>
          <w:szCs w:val="36"/>
        </w:rPr>
      </w:pPr>
    </w:p>
    <w:p w:rsidR="00212CD5" w:rsidRPr="00E27920" w:rsidRDefault="00212CD5" w:rsidP="00212CD5">
      <w:pPr>
        <w:jc w:val="center"/>
        <w:rPr>
          <w:rFonts w:asciiTheme="majorHAnsi" w:hAnsiTheme="majorHAnsi" w:cs="Calibri"/>
          <w:b/>
          <w:color w:val="4A442A"/>
          <w:sz w:val="36"/>
          <w:szCs w:val="36"/>
        </w:rPr>
      </w:pPr>
    </w:p>
    <w:p w:rsidR="00212CD5" w:rsidRPr="00E27920" w:rsidRDefault="00212CD5" w:rsidP="00212CD5">
      <w:pPr>
        <w:jc w:val="center"/>
        <w:rPr>
          <w:rFonts w:asciiTheme="majorHAnsi" w:hAnsiTheme="majorHAnsi" w:cs="Calibri"/>
          <w:b/>
          <w:color w:val="4A442A"/>
          <w:sz w:val="36"/>
          <w:szCs w:val="36"/>
        </w:rPr>
      </w:pPr>
    </w:p>
    <w:p w:rsidR="00212CD5" w:rsidRPr="00E27920" w:rsidRDefault="00212CD5" w:rsidP="00212CD5">
      <w:pPr>
        <w:jc w:val="center"/>
        <w:rPr>
          <w:rFonts w:asciiTheme="majorHAnsi" w:hAnsiTheme="majorHAnsi" w:cs="Calibri"/>
          <w:b/>
          <w:color w:val="4A442A"/>
          <w:sz w:val="32"/>
          <w:szCs w:val="32"/>
        </w:rPr>
      </w:pPr>
      <w:r w:rsidRPr="00E27920">
        <w:rPr>
          <w:rFonts w:asciiTheme="majorHAnsi" w:hAnsiTheme="majorHAnsi" w:cs="Calibri"/>
          <w:b/>
          <w:color w:val="4A442A"/>
          <w:sz w:val="36"/>
          <w:szCs w:val="36"/>
        </w:rPr>
        <w:t>By the National Welfare Rights Network (NWRN)</w:t>
      </w:r>
    </w:p>
    <w:p w:rsidR="00212CD5" w:rsidRPr="00E27920" w:rsidRDefault="00212CD5" w:rsidP="00212CD5">
      <w:pPr>
        <w:jc w:val="center"/>
        <w:rPr>
          <w:rFonts w:asciiTheme="majorHAnsi" w:hAnsiTheme="majorHAnsi" w:cs="Calibri"/>
          <w:b/>
          <w:color w:val="4A442A"/>
          <w:sz w:val="28"/>
          <w:szCs w:val="28"/>
        </w:rPr>
      </w:pPr>
    </w:p>
    <w:p w:rsidR="00212CD5" w:rsidRPr="00E27920" w:rsidRDefault="00212CD5" w:rsidP="004903C3">
      <w:pPr>
        <w:pBdr>
          <w:bottom w:val="single" w:sz="4" w:space="1" w:color="auto"/>
        </w:pBdr>
        <w:jc w:val="center"/>
        <w:rPr>
          <w:rFonts w:asciiTheme="majorHAnsi" w:hAnsiTheme="majorHAnsi" w:cs="Calibri"/>
          <w:b/>
          <w:color w:val="4A442A"/>
          <w:sz w:val="28"/>
          <w:szCs w:val="28"/>
        </w:rPr>
      </w:pPr>
      <w:r w:rsidRPr="00E27920">
        <w:rPr>
          <w:rFonts w:asciiTheme="majorHAnsi" w:hAnsiTheme="majorHAnsi" w:cs="Calibri"/>
          <w:b/>
          <w:color w:val="4A442A"/>
          <w:sz w:val="28"/>
          <w:szCs w:val="28"/>
        </w:rPr>
        <w:t>January 2012</w:t>
      </w:r>
    </w:p>
    <w:p w:rsidR="00212CD5" w:rsidRPr="00E27920" w:rsidRDefault="00212CD5" w:rsidP="00212CD5">
      <w:pPr>
        <w:jc w:val="center"/>
        <w:rPr>
          <w:rFonts w:asciiTheme="majorHAnsi" w:hAnsiTheme="majorHAnsi" w:cs="Calibri"/>
          <w:b/>
          <w:color w:val="4A442A"/>
          <w:sz w:val="36"/>
          <w:szCs w:val="36"/>
        </w:rPr>
      </w:pPr>
    </w:p>
    <w:p w:rsidR="00196F16" w:rsidRPr="004903C3" w:rsidRDefault="00212CD5" w:rsidP="00543317">
      <w:pPr>
        <w:pStyle w:val="Title"/>
        <w:pBdr>
          <w:bottom w:val="single" w:sz="4" w:space="4" w:color="4A442A" w:themeColor="background2" w:themeShade="40"/>
        </w:pBdr>
      </w:pPr>
      <w:r>
        <w:br w:type="page"/>
      </w:r>
      <w:r w:rsidR="00196F16" w:rsidRPr="004903C3">
        <w:lastRenderedPageBreak/>
        <w:t>INDEX</w:t>
      </w:r>
    </w:p>
    <w:p w:rsidR="00543317" w:rsidRDefault="00543317" w:rsidP="00543317">
      <w:pPr>
        <w:pStyle w:val="TOC1"/>
        <w:rPr>
          <w:color w:val="948A54" w:themeColor="background2" w:themeShade="80"/>
        </w:rPr>
      </w:pPr>
    </w:p>
    <w:p w:rsidR="00621D19" w:rsidRPr="004903C3" w:rsidRDefault="00543317">
      <w:pPr>
        <w:pStyle w:val="TOC1"/>
        <w:rPr>
          <w:rFonts w:asciiTheme="minorHAnsi" w:eastAsiaTheme="minorEastAsia" w:hAnsiTheme="minorHAnsi" w:cstheme="minorHAnsi"/>
          <w:noProof/>
          <w:color w:val="948A54" w:themeColor="background2" w:themeShade="80"/>
          <w:sz w:val="22"/>
          <w:szCs w:val="22"/>
          <w:lang w:eastAsia="en-AU"/>
        </w:rPr>
      </w:pPr>
      <w:r w:rsidRPr="004903C3">
        <w:rPr>
          <w:rFonts w:asciiTheme="minorHAnsi" w:hAnsiTheme="minorHAnsi" w:cstheme="minorHAnsi"/>
          <w:color w:val="948A54" w:themeColor="background2" w:themeShade="80"/>
        </w:rPr>
        <w:fldChar w:fldCharType="begin"/>
      </w:r>
      <w:r w:rsidRPr="004903C3">
        <w:rPr>
          <w:rFonts w:asciiTheme="minorHAnsi" w:hAnsiTheme="minorHAnsi" w:cstheme="minorHAnsi"/>
          <w:color w:val="948A54" w:themeColor="background2" w:themeShade="80"/>
        </w:rPr>
        <w:instrText xml:space="preserve"> TOC \o "1-2" \h \z \u </w:instrText>
      </w:r>
      <w:r w:rsidRPr="004903C3">
        <w:rPr>
          <w:rFonts w:asciiTheme="minorHAnsi" w:hAnsiTheme="minorHAnsi" w:cstheme="minorHAnsi"/>
          <w:color w:val="948A54" w:themeColor="background2" w:themeShade="80"/>
        </w:rPr>
        <w:fldChar w:fldCharType="separate"/>
      </w:r>
      <w:hyperlink w:anchor="_Toc315947175" w:history="1">
        <w:r w:rsidR="00621D19" w:rsidRPr="004903C3">
          <w:rPr>
            <w:rStyle w:val="Hyperlink"/>
            <w:rFonts w:asciiTheme="minorHAnsi" w:hAnsiTheme="minorHAnsi" w:cstheme="minorHAnsi"/>
            <w:noProof/>
            <w:color w:val="948A54" w:themeColor="background2" w:themeShade="80"/>
          </w:rPr>
          <w:t>1.</w:t>
        </w:r>
        <w:r w:rsidR="00621D19" w:rsidRPr="004903C3">
          <w:rPr>
            <w:rFonts w:asciiTheme="minorHAnsi" w:eastAsiaTheme="minorEastAsia" w:hAnsiTheme="minorHAnsi" w:cstheme="minorHAnsi"/>
            <w:noProof/>
            <w:color w:val="948A54" w:themeColor="background2" w:themeShade="80"/>
            <w:sz w:val="22"/>
            <w:szCs w:val="22"/>
            <w:lang w:eastAsia="en-AU"/>
          </w:rPr>
          <w:tab/>
        </w:r>
        <w:r w:rsidR="00621D19" w:rsidRPr="004903C3">
          <w:rPr>
            <w:rStyle w:val="Hyperlink"/>
            <w:rFonts w:asciiTheme="minorHAnsi" w:hAnsiTheme="minorHAnsi" w:cstheme="minorHAnsi"/>
            <w:noProof/>
            <w:color w:val="948A54" w:themeColor="background2" w:themeShade="80"/>
          </w:rPr>
          <w:t>About the National Welfare Rights Network</w:t>
        </w:r>
        <w:r w:rsidR="00621D19" w:rsidRPr="004903C3">
          <w:rPr>
            <w:rFonts w:asciiTheme="minorHAnsi" w:hAnsiTheme="minorHAnsi" w:cstheme="minorHAnsi"/>
            <w:noProof/>
            <w:webHidden/>
            <w:color w:val="948A54" w:themeColor="background2" w:themeShade="80"/>
          </w:rPr>
          <w:tab/>
        </w:r>
        <w:r w:rsidR="00621D19" w:rsidRPr="004903C3">
          <w:rPr>
            <w:rFonts w:asciiTheme="minorHAnsi" w:hAnsiTheme="minorHAnsi" w:cstheme="minorHAnsi"/>
            <w:noProof/>
            <w:webHidden/>
            <w:color w:val="948A54" w:themeColor="background2" w:themeShade="80"/>
          </w:rPr>
          <w:fldChar w:fldCharType="begin"/>
        </w:r>
        <w:r w:rsidR="00621D19" w:rsidRPr="004903C3">
          <w:rPr>
            <w:rFonts w:asciiTheme="minorHAnsi" w:hAnsiTheme="minorHAnsi" w:cstheme="minorHAnsi"/>
            <w:noProof/>
            <w:webHidden/>
            <w:color w:val="948A54" w:themeColor="background2" w:themeShade="80"/>
          </w:rPr>
          <w:instrText xml:space="preserve"> PAGEREF _Toc315947175 \h </w:instrText>
        </w:r>
        <w:r w:rsidR="00621D19" w:rsidRPr="004903C3">
          <w:rPr>
            <w:rFonts w:asciiTheme="minorHAnsi" w:hAnsiTheme="minorHAnsi" w:cstheme="minorHAnsi"/>
            <w:noProof/>
            <w:webHidden/>
            <w:color w:val="948A54" w:themeColor="background2" w:themeShade="80"/>
          </w:rPr>
        </w:r>
        <w:r w:rsidR="00621D19" w:rsidRPr="004903C3">
          <w:rPr>
            <w:rFonts w:asciiTheme="minorHAnsi" w:hAnsiTheme="minorHAnsi" w:cstheme="minorHAnsi"/>
            <w:noProof/>
            <w:webHidden/>
            <w:color w:val="948A54" w:themeColor="background2" w:themeShade="80"/>
          </w:rPr>
          <w:fldChar w:fldCharType="separate"/>
        </w:r>
        <w:r w:rsidR="00E17883" w:rsidRPr="004903C3">
          <w:rPr>
            <w:rFonts w:asciiTheme="minorHAnsi" w:hAnsiTheme="minorHAnsi" w:cstheme="minorHAnsi"/>
            <w:noProof/>
            <w:webHidden/>
            <w:color w:val="948A54" w:themeColor="background2" w:themeShade="80"/>
          </w:rPr>
          <w:t>3</w:t>
        </w:r>
        <w:r w:rsidR="00621D19" w:rsidRPr="004903C3">
          <w:rPr>
            <w:rFonts w:asciiTheme="minorHAnsi" w:hAnsiTheme="minorHAnsi" w:cstheme="minorHAnsi"/>
            <w:noProof/>
            <w:webHidden/>
            <w:color w:val="948A54" w:themeColor="background2" w:themeShade="80"/>
          </w:rPr>
          <w:fldChar w:fldCharType="end"/>
        </w:r>
      </w:hyperlink>
    </w:p>
    <w:p w:rsidR="00621D19" w:rsidRPr="004903C3" w:rsidRDefault="00D40730">
      <w:pPr>
        <w:pStyle w:val="TOC1"/>
        <w:rPr>
          <w:rFonts w:asciiTheme="minorHAnsi" w:eastAsiaTheme="minorEastAsia" w:hAnsiTheme="minorHAnsi" w:cstheme="minorHAnsi"/>
          <w:noProof/>
          <w:color w:val="948A54" w:themeColor="background2" w:themeShade="80"/>
          <w:sz w:val="22"/>
          <w:szCs w:val="22"/>
          <w:lang w:eastAsia="en-AU"/>
        </w:rPr>
      </w:pPr>
      <w:hyperlink w:anchor="_Toc315947176" w:history="1">
        <w:r w:rsidR="00621D19" w:rsidRPr="004903C3">
          <w:rPr>
            <w:rStyle w:val="Hyperlink"/>
            <w:rFonts w:asciiTheme="minorHAnsi" w:hAnsiTheme="minorHAnsi" w:cstheme="minorHAnsi"/>
            <w:noProof/>
            <w:color w:val="948A54" w:themeColor="background2" w:themeShade="80"/>
          </w:rPr>
          <w:t>2.</w:t>
        </w:r>
        <w:r w:rsidR="00621D19" w:rsidRPr="004903C3">
          <w:rPr>
            <w:rFonts w:asciiTheme="minorHAnsi" w:eastAsiaTheme="minorEastAsia" w:hAnsiTheme="minorHAnsi" w:cstheme="minorHAnsi"/>
            <w:noProof/>
            <w:color w:val="948A54" w:themeColor="background2" w:themeShade="80"/>
            <w:sz w:val="22"/>
            <w:szCs w:val="22"/>
            <w:lang w:eastAsia="en-AU"/>
          </w:rPr>
          <w:tab/>
        </w:r>
        <w:r w:rsidR="00621D19" w:rsidRPr="004903C3">
          <w:rPr>
            <w:rStyle w:val="Hyperlink"/>
            <w:rFonts w:asciiTheme="minorHAnsi" w:hAnsiTheme="minorHAnsi" w:cstheme="minorHAnsi"/>
            <w:noProof/>
            <w:color w:val="948A54" w:themeColor="background2" w:themeShade="80"/>
          </w:rPr>
          <w:t>Executive summary</w:t>
        </w:r>
        <w:r w:rsidR="00621D19" w:rsidRPr="004903C3">
          <w:rPr>
            <w:rFonts w:asciiTheme="minorHAnsi" w:hAnsiTheme="minorHAnsi" w:cstheme="minorHAnsi"/>
            <w:noProof/>
            <w:webHidden/>
            <w:color w:val="948A54" w:themeColor="background2" w:themeShade="80"/>
          </w:rPr>
          <w:tab/>
        </w:r>
        <w:r w:rsidR="00621D19" w:rsidRPr="004903C3">
          <w:rPr>
            <w:rFonts w:asciiTheme="minorHAnsi" w:hAnsiTheme="minorHAnsi" w:cstheme="minorHAnsi"/>
            <w:noProof/>
            <w:webHidden/>
            <w:color w:val="948A54" w:themeColor="background2" w:themeShade="80"/>
          </w:rPr>
          <w:fldChar w:fldCharType="begin"/>
        </w:r>
        <w:r w:rsidR="00621D19" w:rsidRPr="004903C3">
          <w:rPr>
            <w:rFonts w:asciiTheme="minorHAnsi" w:hAnsiTheme="minorHAnsi" w:cstheme="minorHAnsi"/>
            <w:noProof/>
            <w:webHidden/>
            <w:color w:val="948A54" w:themeColor="background2" w:themeShade="80"/>
          </w:rPr>
          <w:instrText xml:space="preserve"> PAGEREF _Toc315947176 \h </w:instrText>
        </w:r>
        <w:r w:rsidR="00621D19" w:rsidRPr="004903C3">
          <w:rPr>
            <w:rFonts w:asciiTheme="minorHAnsi" w:hAnsiTheme="minorHAnsi" w:cstheme="minorHAnsi"/>
            <w:noProof/>
            <w:webHidden/>
            <w:color w:val="948A54" w:themeColor="background2" w:themeShade="80"/>
          </w:rPr>
        </w:r>
        <w:r w:rsidR="00621D19" w:rsidRPr="004903C3">
          <w:rPr>
            <w:rFonts w:asciiTheme="minorHAnsi" w:hAnsiTheme="minorHAnsi" w:cstheme="minorHAnsi"/>
            <w:noProof/>
            <w:webHidden/>
            <w:color w:val="948A54" w:themeColor="background2" w:themeShade="80"/>
          </w:rPr>
          <w:fldChar w:fldCharType="separate"/>
        </w:r>
        <w:r w:rsidR="00E17883" w:rsidRPr="004903C3">
          <w:rPr>
            <w:rFonts w:asciiTheme="minorHAnsi" w:hAnsiTheme="minorHAnsi" w:cstheme="minorHAnsi"/>
            <w:noProof/>
            <w:webHidden/>
            <w:color w:val="948A54" w:themeColor="background2" w:themeShade="80"/>
          </w:rPr>
          <w:t>4</w:t>
        </w:r>
        <w:r w:rsidR="00621D19" w:rsidRPr="004903C3">
          <w:rPr>
            <w:rFonts w:asciiTheme="minorHAnsi" w:hAnsiTheme="minorHAnsi" w:cstheme="minorHAnsi"/>
            <w:noProof/>
            <w:webHidden/>
            <w:color w:val="948A54" w:themeColor="background2" w:themeShade="80"/>
          </w:rPr>
          <w:fldChar w:fldCharType="end"/>
        </w:r>
      </w:hyperlink>
    </w:p>
    <w:p w:rsidR="00621D19" w:rsidRPr="004903C3" w:rsidRDefault="00D40730">
      <w:pPr>
        <w:pStyle w:val="TOC1"/>
        <w:rPr>
          <w:rFonts w:asciiTheme="minorHAnsi" w:eastAsiaTheme="minorEastAsia" w:hAnsiTheme="minorHAnsi" w:cstheme="minorHAnsi"/>
          <w:noProof/>
          <w:color w:val="948A54" w:themeColor="background2" w:themeShade="80"/>
          <w:sz w:val="22"/>
          <w:szCs w:val="22"/>
          <w:lang w:eastAsia="en-AU"/>
        </w:rPr>
      </w:pPr>
      <w:hyperlink w:anchor="_Toc315947177" w:history="1">
        <w:r w:rsidR="00621D19" w:rsidRPr="004903C3">
          <w:rPr>
            <w:rStyle w:val="Hyperlink"/>
            <w:rFonts w:asciiTheme="minorHAnsi" w:hAnsiTheme="minorHAnsi" w:cstheme="minorHAnsi"/>
            <w:noProof/>
            <w:color w:val="948A54" w:themeColor="background2" w:themeShade="80"/>
          </w:rPr>
          <w:t>3.</w:t>
        </w:r>
        <w:r w:rsidR="00621D19" w:rsidRPr="004903C3">
          <w:rPr>
            <w:rFonts w:asciiTheme="minorHAnsi" w:eastAsiaTheme="minorEastAsia" w:hAnsiTheme="minorHAnsi" w:cstheme="minorHAnsi"/>
            <w:noProof/>
            <w:color w:val="948A54" w:themeColor="background2" w:themeShade="80"/>
            <w:sz w:val="22"/>
            <w:szCs w:val="22"/>
            <w:lang w:eastAsia="en-AU"/>
          </w:rPr>
          <w:tab/>
        </w:r>
        <w:r w:rsidR="00621D19" w:rsidRPr="004903C3">
          <w:rPr>
            <w:rStyle w:val="Hyperlink"/>
            <w:rFonts w:asciiTheme="minorHAnsi" w:hAnsiTheme="minorHAnsi" w:cstheme="minorHAnsi"/>
            <w:noProof/>
            <w:color w:val="948A54" w:themeColor="background2" w:themeShade="80"/>
          </w:rPr>
          <w:t>Centrelink – large and complex</w:t>
        </w:r>
        <w:r w:rsidR="00621D19" w:rsidRPr="004903C3">
          <w:rPr>
            <w:rFonts w:asciiTheme="minorHAnsi" w:hAnsiTheme="minorHAnsi" w:cstheme="minorHAnsi"/>
            <w:noProof/>
            <w:webHidden/>
            <w:color w:val="948A54" w:themeColor="background2" w:themeShade="80"/>
          </w:rPr>
          <w:tab/>
        </w:r>
        <w:r w:rsidR="00621D19" w:rsidRPr="004903C3">
          <w:rPr>
            <w:rFonts w:asciiTheme="minorHAnsi" w:hAnsiTheme="minorHAnsi" w:cstheme="minorHAnsi"/>
            <w:noProof/>
            <w:webHidden/>
            <w:color w:val="948A54" w:themeColor="background2" w:themeShade="80"/>
          </w:rPr>
          <w:fldChar w:fldCharType="begin"/>
        </w:r>
        <w:r w:rsidR="00621D19" w:rsidRPr="004903C3">
          <w:rPr>
            <w:rFonts w:asciiTheme="minorHAnsi" w:hAnsiTheme="minorHAnsi" w:cstheme="minorHAnsi"/>
            <w:noProof/>
            <w:webHidden/>
            <w:color w:val="948A54" w:themeColor="background2" w:themeShade="80"/>
          </w:rPr>
          <w:instrText xml:space="preserve"> PAGEREF _Toc315947177 \h </w:instrText>
        </w:r>
        <w:r w:rsidR="00621D19" w:rsidRPr="004903C3">
          <w:rPr>
            <w:rFonts w:asciiTheme="minorHAnsi" w:hAnsiTheme="minorHAnsi" w:cstheme="minorHAnsi"/>
            <w:noProof/>
            <w:webHidden/>
            <w:color w:val="948A54" w:themeColor="background2" w:themeShade="80"/>
          </w:rPr>
        </w:r>
        <w:r w:rsidR="00621D19" w:rsidRPr="004903C3">
          <w:rPr>
            <w:rFonts w:asciiTheme="minorHAnsi" w:hAnsiTheme="minorHAnsi" w:cstheme="minorHAnsi"/>
            <w:noProof/>
            <w:webHidden/>
            <w:color w:val="948A54" w:themeColor="background2" w:themeShade="80"/>
          </w:rPr>
          <w:fldChar w:fldCharType="separate"/>
        </w:r>
        <w:r w:rsidR="00E17883" w:rsidRPr="004903C3">
          <w:rPr>
            <w:rFonts w:asciiTheme="minorHAnsi" w:hAnsiTheme="minorHAnsi" w:cstheme="minorHAnsi"/>
            <w:noProof/>
            <w:webHidden/>
            <w:color w:val="948A54" w:themeColor="background2" w:themeShade="80"/>
          </w:rPr>
          <w:t>4</w:t>
        </w:r>
        <w:r w:rsidR="00621D19" w:rsidRPr="004903C3">
          <w:rPr>
            <w:rFonts w:asciiTheme="minorHAnsi" w:hAnsiTheme="minorHAnsi" w:cstheme="minorHAnsi"/>
            <w:noProof/>
            <w:webHidden/>
            <w:color w:val="948A54" w:themeColor="background2" w:themeShade="80"/>
          </w:rPr>
          <w:fldChar w:fldCharType="end"/>
        </w:r>
      </w:hyperlink>
    </w:p>
    <w:p w:rsidR="00621D19" w:rsidRPr="004903C3" w:rsidRDefault="00D40730">
      <w:pPr>
        <w:pStyle w:val="TOC1"/>
        <w:rPr>
          <w:rFonts w:asciiTheme="minorHAnsi" w:eastAsiaTheme="minorEastAsia" w:hAnsiTheme="minorHAnsi" w:cstheme="minorHAnsi"/>
          <w:noProof/>
          <w:color w:val="948A54" w:themeColor="background2" w:themeShade="80"/>
          <w:sz w:val="22"/>
          <w:szCs w:val="22"/>
          <w:lang w:eastAsia="en-AU"/>
        </w:rPr>
      </w:pPr>
      <w:hyperlink w:anchor="_Toc315947178" w:history="1">
        <w:r w:rsidR="00621D19" w:rsidRPr="004903C3">
          <w:rPr>
            <w:rStyle w:val="Hyperlink"/>
            <w:rFonts w:asciiTheme="minorHAnsi" w:hAnsiTheme="minorHAnsi" w:cstheme="minorHAnsi"/>
            <w:noProof/>
            <w:color w:val="948A54" w:themeColor="background2" w:themeShade="80"/>
          </w:rPr>
          <w:t>4.</w:t>
        </w:r>
        <w:r w:rsidR="00621D19" w:rsidRPr="004903C3">
          <w:rPr>
            <w:rFonts w:asciiTheme="minorHAnsi" w:eastAsiaTheme="minorEastAsia" w:hAnsiTheme="minorHAnsi" w:cstheme="minorHAnsi"/>
            <w:noProof/>
            <w:color w:val="948A54" w:themeColor="background2" w:themeShade="80"/>
            <w:sz w:val="22"/>
            <w:szCs w:val="22"/>
            <w:lang w:eastAsia="en-AU"/>
          </w:rPr>
          <w:tab/>
        </w:r>
        <w:r w:rsidR="00621D19" w:rsidRPr="004903C3">
          <w:rPr>
            <w:rStyle w:val="Hyperlink"/>
            <w:rFonts w:asciiTheme="minorHAnsi" w:hAnsiTheme="minorHAnsi" w:cstheme="minorHAnsi"/>
            <w:noProof/>
            <w:color w:val="948A54" w:themeColor="background2" w:themeShade="80"/>
          </w:rPr>
          <w:t>Expand access to Welfare Rights legal services and assistance</w:t>
        </w:r>
        <w:r w:rsidR="00621D19" w:rsidRPr="004903C3">
          <w:rPr>
            <w:rFonts w:asciiTheme="minorHAnsi" w:hAnsiTheme="minorHAnsi" w:cstheme="minorHAnsi"/>
            <w:noProof/>
            <w:webHidden/>
            <w:color w:val="948A54" w:themeColor="background2" w:themeShade="80"/>
          </w:rPr>
          <w:tab/>
        </w:r>
        <w:r w:rsidR="00621D19" w:rsidRPr="004903C3">
          <w:rPr>
            <w:rFonts w:asciiTheme="minorHAnsi" w:hAnsiTheme="minorHAnsi" w:cstheme="minorHAnsi"/>
            <w:noProof/>
            <w:webHidden/>
            <w:color w:val="948A54" w:themeColor="background2" w:themeShade="80"/>
          </w:rPr>
          <w:fldChar w:fldCharType="begin"/>
        </w:r>
        <w:r w:rsidR="00621D19" w:rsidRPr="004903C3">
          <w:rPr>
            <w:rFonts w:asciiTheme="minorHAnsi" w:hAnsiTheme="minorHAnsi" w:cstheme="minorHAnsi"/>
            <w:noProof/>
            <w:webHidden/>
            <w:color w:val="948A54" w:themeColor="background2" w:themeShade="80"/>
          </w:rPr>
          <w:instrText xml:space="preserve"> PAGEREF _Toc315947178 \h </w:instrText>
        </w:r>
        <w:r w:rsidR="00621D19" w:rsidRPr="004903C3">
          <w:rPr>
            <w:rFonts w:asciiTheme="minorHAnsi" w:hAnsiTheme="minorHAnsi" w:cstheme="minorHAnsi"/>
            <w:noProof/>
            <w:webHidden/>
            <w:color w:val="948A54" w:themeColor="background2" w:themeShade="80"/>
          </w:rPr>
        </w:r>
        <w:r w:rsidR="00621D19" w:rsidRPr="004903C3">
          <w:rPr>
            <w:rFonts w:asciiTheme="minorHAnsi" w:hAnsiTheme="minorHAnsi" w:cstheme="minorHAnsi"/>
            <w:noProof/>
            <w:webHidden/>
            <w:color w:val="948A54" w:themeColor="background2" w:themeShade="80"/>
          </w:rPr>
          <w:fldChar w:fldCharType="separate"/>
        </w:r>
        <w:r w:rsidR="00E17883" w:rsidRPr="004903C3">
          <w:rPr>
            <w:rFonts w:asciiTheme="minorHAnsi" w:hAnsiTheme="minorHAnsi" w:cstheme="minorHAnsi"/>
            <w:noProof/>
            <w:webHidden/>
            <w:color w:val="948A54" w:themeColor="background2" w:themeShade="80"/>
          </w:rPr>
          <w:t>8</w:t>
        </w:r>
        <w:r w:rsidR="00621D19" w:rsidRPr="004903C3">
          <w:rPr>
            <w:rFonts w:asciiTheme="minorHAnsi" w:hAnsiTheme="minorHAnsi" w:cstheme="minorHAnsi"/>
            <w:noProof/>
            <w:webHidden/>
            <w:color w:val="948A54" w:themeColor="background2" w:themeShade="80"/>
          </w:rPr>
          <w:fldChar w:fldCharType="end"/>
        </w:r>
      </w:hyperlink>
    </w:p>
    <w:p w:rsidR="00621D19" w:rsidRPr="004903C3" w:rsidRDefault="00D40730">
      <w:pPr>
        <w:pStyle w:val="TOC2"/>
        <w:rPr>
          <w:rFonts w:asciiTheme="minorHAnsi" w:eastAsiaTheme="minorEastAsia" w:hAnsiTheme="minorHAnsi" w:cstheme="minorHAnsi"/>
          <w:noProof/>
          <w:color w:val="948A54" w:themeColor="background2" w:themeShade="80"/>
          <w:sz w:val="22"/>
          <w:szCs w:val="22"/>
          <w:lang w:eastAsia="en-AU"/>
        </w:rPr>
      </w:pPr>
      <w:hyperlink w:anchor="_Toc315947179" w:history="1">
        <w:r w:rsidR="00621D19" w:rsidRPr="004903C3">
          <w:rPr>
            <w:rStyle w:val="Hyperlink"/>
            <w:rFonts w:asciiTheme="minorHAnsi" w:hAnsiTheme="minorHAnsi" w:cstheme="minorHAnsi"/>
            <w:noProof/>
            <w:color w:val="948A54" w:themeColor="background2" w:themeShade="80"/>
          </w:rPr>
          <w:t>4.1</w:t>
        </w:r>
        <w:r w:rsidR="00621D19" w:rsidRPr="004903C3">
          <w:rPr>
            <w:rFonts w:asciiTheme="minorHAnsi" w:eastAsiaTheme="minorEastAsia" w:hAnsiTheme="minorHAnsi" w:cstheme="minorHAnsi"/>
            <w:noProof/>
            <w:color w:val="948A54" w:themeColor="background2" w:themeShade="80"/>
            <w:sz w:val="22"/>
            <w:szCs w:val="22"/>
            <w:lang w:eastAsia="en-AU"/>
          </w:rPr>
          <w:tab/>
        </w:r>
        <w:r w:rsidR="00621D19" w:rsidRPr="004903C3">
          <w:rPr>
            <w:rStyle w:val="Hyperlink"/>
            <w:rFonts w:asciiTheme="minorHAnsi" w:hAnsiTheme="minorHAnsi" w:cstheme="minorHAnsi"/>
            <w:noProof/>
            <w:color w:val="948A54" w:themeColor="background2" w:themeShade="80"/>
          </w:rPr>
          <w:t xml:space="preserve">A history of Commonwealth funding for Welfare Rights legal </w:t>
        </w:r>
        <w:r w:rsidR="00621D19" w:rsidRPr="004903C3">
          <w:rPr>
            <w:rStyle w:val="Hyperlink"/>
            <w:rFonts w:asciiTheme="minorHAnsi" w:eastAsiaTheme="majorEastAsia" w:hAnsiTheme="minorHAnsi" w:cstheme="minorHAnsi"/>
            <w:noProof/>
            <w:color w:val="948A54" w:themeColor="background2" w:themeShade="80"/>
          </w:rPr>
          <w:t>services</w:t>
        </w:r>
        <w:r w:rsidR="00621D19" w:rsidRPr="004903C3">
          <w:rPr>
            <w:rFonts w:asciiTheme="minorHAnsi" w:hAnsiTheme="minorHAnsi" w:cstheme="minorHAnsi"/>
            <w:noProof/>
            <w:webHidden/>
            <w:color w:val="948A54" w:themeColor="background2" w:themeShade="80"/>
          </w:rPr>
          <w:tab/>
        </w:r>
        <w:r w:rsidR="00621D19" w:rsidRPr="004903C3">
          <w:rPr>
            <w:rFonts w:asciiTheme="minorHAnsi" w:hAnsiTheme="minorHAnsi" w:cstheme="minorHAnsi"/>
            <w:noProof/>
            <w:webHidden/>
            <w:color w:val="948A54" w:themeColor="background2" w:themeShade="80"/>
          </w:rPr>
          <w:fldChar w:fldCharType="begin"/>
        </w:r>
        <w:r w:rsidR="00621D19" w:rsidRPr="004903C3">
          <w:rPr>
            <w:rFonts w:asciiTheme="minorHAnsi" w:hAnsiTheme="minorHAnsi" w:cstheme="minorHAnsi"/>
            <w:noProof/>
            <w:webHidden/>
            <w:color w:val="948A54" w:themeColor="background2" w:themeShade="80"/>
          </w:rPr>
          <w:instrText xml:space="preserve"> PAGEREF _Toc315947179 \h </w:instrText>
        </w:r>
        <w:r w:rsidR="00621D19" w:rsidRPr="004903C3">
          <w:rPr>
            <w:rFonts w:asciiTheme="minorHAnsi" w:hAnsiTheme="minorHAnsi" w:cstheme="minorHAnsi"/>
            <w:noProof/>
            <w:webHidden/>
            <w:color w:val="948A54" w:themeColor="background2" w:themeShade="80"/>
          </w:rPr>
        </w:r>
        <w:r w:rsidR="00621D19" w:rsidRPr="004903C3">
          <w:rPr>
            <w:rFonts w:asciiTheme="minorHAnsi" w:hAnsiTheme="minorHAnsi" w:cstheme="minorHAnsi"/>
            <w:noProof/>
            <w:webHidden/>
            <w:color w:val="948A54" w:themeColor="background2" w:themeShade="80"/>
          </w:rPr>
          <w:fldChar w:fldCharType="separate"/>
        </w:r>
        <w:r w:rsidR="00E17883" w:rsidRPr="004903C3">
          <w:rPr>
            <w:rFonts w:asciiTheme="minorHAnsi" w:hAnsiTheme="minorHAnsi" w:cstheme="minorHAnsi"/>
            <w:noProof/>
            <w:webHidden/>
            <w:color w:val="948A54" w:themeColor="background2" w:themeShade="80"/>
          </w:rPr>
          <w:t>9</w:t>
        </w:r>
        <w:r w:rsidR="00621D19" w:rsidRPr="004903C3">
          <w:rPr>
            <w:rFonts w:asciiTheme="minorHAnsi" w:hAnsiTheme="minorHAnsi" w:cstheme="minorHAnsi"/>
            <w:noProof/>
            <w:webHidden/>
            <w:color w:val="948A54" w:themeColor="background2" w:themeShade="80"/>
          </w:rPr>
          <w:fldChar w:fldCharType="end"/>
        </w:r>
      </w:hyperlink>
    </w:p>
    <w:p w:rsidR="00621D19" w:rsidRPr="004903C3" w:rsidRDefault="00D40730">
      <w:pPr>
        <w:pStyle w:val="TOC2"/>
        <w:rPr>
          <w:rFonts w:asciiTheme="minorHAnsi" w:eastAsiaTheme="minorEastAsia" w:hAnsiTheme="minorHAnsi" w:cstheme="minorHAnsi"/>
          <w:noProof/>
          <w:color w:val="948A54" w:themeColor="background2" w:themeShade="80"/>
          <w:sz w:val="22"/>
          <w:szCs w:val="22"/>
          <w:lang w:eastAsia="en-AU"/>
        </w:rPr>
      </w:pPr>
      <w:hyperlink w:anchor="_Toc315947180" w:history="1">
        <w:r w:rsidR="00621D19" w:rsidRPr="004903C3">
          <w:rPr>
            <w:rStyle w:val="Hyperlink"/>
            <w:rFonts w:asciiTheme="minorHAnsi" w:hAnsiTheme="minorHAnsi" w:cstheme="minorHAnsi"/>
            <w:noProof/>
            <w:color w:val="948A54" w:themeColor="background2" w:themeShade="80"/>
          </w:rPr>
          <w:t>4.2</w:t>
        </w:r>
        <w:r w:rsidR="00621D19" w:rsidRPr="004903C3">
          <w:rPr>
            <w:rFonts w:asciiTheme="minorHAnsi" w:eastAsiaTheme="minorEastAsia" w:hAnsiTheme="minorHAnsi" w:cstheme="minorHAnsi"/>
            <w:noProof/>
            <w:color w:val="948A54" w:themeColor="background2" w:themeShade="80"/>
            <w:sz w:val="22"/>
            <w:szCs w:val="22"/>
            <w:lang w:eastAsia="en-AU"/>
          </w:rPr>
          <w:tab/>
        </w:r>
        <w:r w:rsidR="00621D19" w:rsidRPr="004903C3">
          <w:rPr>
            <w:rStyle w:val="Hyperlink"/>
            <w:rFonts w:asciiTheme="minorHAnsi" w:hAnsiTheme="minorHAnsi" w:cstheme="minorHAnsi"/>
            <w:noProof/>
            <w:color w:val="948A54" w:themeColor="background2" w:themeShade="80"/>
          </w:rPr>
          <w:t>Proposed Welfare Rights program expansion</w:t>
        </w:r>
        <w:r w:rsidR="00621D19" w:rsidRPr="004903C3">
          <w:rPr>
            <w:rFonts w:asciiTheme="minorHAnsi" w:hAnsiTheme="minorHAnsi" w:cstheme="minorHAnsi"/>
            <w:noProof/>
            <w:webHidden/>
            <w:color w:val="948A54" w:themeColor="background2" w:themeShade="80"/>
          </w:rPr>
          <w:tab/>
        </w:r>
        <w:r w:rsidR="00621D19" w:rsidRPr="004903C3">
          <w:rPr>
            <w:rFonts w:asciiTheme="minorHAnsi" w:hAnsiTheme="minorHAnsi" w:cstheme="minorHAnsi"/>
            <w:noProof/>
            <w:webHidden/>
            <w:color w:val="948A54" w:themeColor="background2" w:themeShade="80"/>
          </w:rPr>
          <w:fldChar w:fldCharType="begin"/>
        </w:r>
        <w:r w:rsidR="00621D19" w:rsidRPr="004903C3">
          <w:rPr>
            <w:rFonts w:asciiTheme="minorHAnsi" w:hAnsiTheme="minorHAnsi" w:cstheme="minorHAnsi"/>
            <w:noProof/>
            <w:webHidden/>
            <w:color w:val="948A54" w:themeColor="background2" w:themeShade="80"/>
          </w:rPr>
          <w:instrText xml:space="preserve"> PAGEREF _Toc315947180 \h </w:instrText>
        </w:r>
        <w:r w:rsidR="00621D19" w:rsidRPr="004903C3">
          <w:rPr>
            <w:rFonts w:asciiTheme="minorHAnsi" w:hAnsiTheme="minorHAnsi" w:cstheme="minorHAnsi"/>
            <w:noProof/>
            <w:webHidden/>
            <w:color w:val="948A54" w:themeColor="background2" w:themeShade="80"/>
          </w:rPr>
        </w:r>
        <w:r w:rsidR="00621D19" w:rsidRPr="004903C3">
          <w:rPr>
            <w:rFonts w:asciiTheme="minorHAnsi" w:hAnsiTheme="minorHAnsi" w:cstheme="minorHAnsi"/>
            <w:noProof/>
            <w:webHidden/>
            <w:color w:val="948A54" w:themeColor="background2" w:themeShade="80"/>
          </w:rPr>
          <w:fldChar w:fldCharType="separate"/>
        </w:r>
        <w:r w:rsidR="00E17883" w:rsidRPr="004903C3">
          <w:rPr>
            <w:rFonts w:asciiTheme="minorHAnsi" w:hAnsiTheme="minorHAnsi" w:cstheme="minorHAnsi"/>
            <w:noProof/>
            <w:webHidden/>
            <w:color w:val="948A54" w:themeColor="background2" w:themeShade="80"/>
          </w:rPr>
          <w:t>10</w:t>
        </w:r>
        <w:r w:rsidR="00621D19" w:rsidRPr="004903C3">
          <w:rPr>
            <w:rFonts w:asciiTheme="minorHAnsi" w:hAnsiTheme="minorHAnsi" w:cstheme="minorHAnsi"/>
            <w:noProof/>
            <w:webHidden/>
            <w:color w:val="948A54" w:themeColor="background2" w:themeShade="80"/>
          </w:rPr>
          <w:fldChar w:fldCharType="end"/>
        </w:r>
      </w:hyperlink>
    </w:p>
    <w:p w:rsidR="00621D19" w:rsidRPr="004903C3" w:rsidRDefault="00D40730">
      <w:pPr>
        <w:pStyle w:val="TOC1"/>
        <w:rPr>
          <w:rFonts w:asciiTheme="minorHAnsi" w:eastAsiaTheme="minorEastAsia" w:hAnsiTheme="minorHAnsi" w:cstheme="minorHAnsi"/>
          <w:noProof/>
          <w:color w:val="948A54" w:themeColor="background2" w:themeShade="80"/>
          <w:sz w:val="22"/>
          <w:szCs w:val="22"/>
          <w:lang w:eastAsia="en-AU"/>
        </w:rPr>
      </w:pPr>
      <w:hyperlink w:anchor="_Toc315947181" w:history="1">
        <w:r w:rsidR="00621D19" w:rsidRPr="004903C3">
          <w:rPr>
            <w:rStyle w:val="Hyperlink"/>
            <w:rFonts w:asciiTheme="minorHAnsi" w:hAnsiTheme="minorHAnsi" w:cstheme="minorHAnsi"/>
            <w:noProof/>
            <w:color w:val="948A54" w:themeColor="background2" w:themeShade="80"/>
          </w:rPr>
          <w:t>5.</w:t>
        </w:r>
        <w:r w:rsidR="00621D19" w:rsidRPr="004903C3">
          <w:rPr>
            <w:rFonts w:asciiTheme="minorHAnsi" w:eastAsiaTheme="minorEastAsia" w:hAnsiTheme="minorHAnsi" w:cstheme="minorHAnsi"/>
            <w:noProof/>
            <w:color w:val="948A54" w:themeColor="background2" w:themeShade="80"/>
            <w:sz w:val="22"/>
            <w:szCs w:val="22"/>
            <w:lang w:eastAsia="en-AU"/>
          </w:rPr>
          <w:tab/>
        </w:r>
        <w:r w:rsidR="00621D19" w:rsidRPr="004903C3">
          <w:rPr>
            <w:rStyle w:val="Hyperlink"/>
            <w:rFonts w:asciiTheme="minorHAnsi" w:hAnsiTheme="minorHAnsi" w:cstheme="minorHAnsi"/>
            <w:noProof/>
            <w:color w:val="948A54" w:themeColor="background2" w:themeShade="80"/>
          </w:rPr>
          <w:t>National Secretariat Funding for the National Welfare Rights Network</w:t>
        </w:r>
        <w:r w:rsidR="00621D19" w:rsidRPr="004903C3">
          <w:rPr>
            <w:rFonts w:asciiTheme="minorHAnsi" w:hAnsiTheme="minorHAnsi" w:cstheme="minorHAnsi"/>
            <w:noProof/>
            <w:webHidden/>
            <w:color w:val="948A54" w:themeColor="background2" w:themeShade="80"/>
          </w:rPr>
          <w:tab/>
        </w:r>
        <w:r w:rsidR="00621D19" w:rsidRPr="004903C3">
          <w:rPr>
            <w:rFonts w:asciiTheme="minorHAnsi" w:hAnsiTheme="minorHAnsi" w:cstheme="minorHAnsi"/>
            <w:noProof/>
            <w:webHidden/>
            <w:color w:val="948A54" w:themeColor="background2" w:themeShade="80"/>
          </w:rPr>
          <w:fldChar w:fldCharType="begin"/>
        </w:r>
        <w:r w:rsidR="00621D19" w:rsidRPr="004903C3">
          <w:rPr>
            <w:rFonts w:asciiTheme="minorHAnsi" w:hAnsiTheme="minorHAnsi" w:cstheme="minorHAnsi"/>
            <w:noProof/>
            <w:webHidden/>
            <w:color w:val="948A54" w:themeColor="background2" w:themeShade="80"/>
          </w:rPr>
          <w:instrText xml:space="preserve"> PAGEREF _Toc315947181 \h </w:instrText>
        </w:r>
        <w:r w:rsidR="00621D19" w:rsidRPr="004903C3">
          <w:rPr>
            <w:rFonts w:asciiTheme="minorHAnsi" w:hAnsiTheme="minorHAnsi" w:cstheme="minorHAnsi"/>
            <w:noProof/>
            <w:webHidden/>
            <w:color w:val="948A54" w:themeColor="background2" w:themeShade="80"/>
          </w:rPr>
        </w:r>
        <w:r w:rsidR="00621D19" w:rsidRPr="004903C3">
          <w:rPr>
            <w:rFonts w:asciiTheme="minorHAnsi" w:hAnsiTheme="minorHAnsi" w:cstheme="minorHAnsi"/>
            <w:noProof/>
            <w:webHidden/>
            <w:color w:val="948A54" w:themeColor="background2" w:themeShade="80"/>
          </w:rPr>
          <w:fldChar w:fldCharType="separate"/>
        </w:r>
        <w:r w:rsidR="00E17883" w:rsidRPr="004903C3">
          <w:rPr>
            <w:rFonts w:asciiTheme="minorHAnsi" w:hAnsiTheme="minorHAnsi" w:cstheme="minorHAnsi"/>
            <w:noProof/>
            <w:webHidden/>
            <w:color w:val="948A54" w:themeColor="background2" w:themeShade="80"/>
          </w:rPr>
          <w:t>12</w:t>
        </w:r>
        <w:r w:rsidR="00621D19" w:rsidRPr="004903C3">
          <w:rPr>
            <w:rFonts w:asciiTheme="minorHAnsi" w:hAnsiTheme="minorHAnsi" w:cstheme="minorHAnsi"/>
            <w:noProof/>
            <w:webHidden/>
            <w:color w:val="948A54" w:themeColor="background2" w:themeShade="80"/>
          </w:rPr>
          <w:fldChar w:fldCharType="end"/>
        </w:r>
      </w:hyperlink>
    </w:p>
    <w:p w:rsidR="00621D19" w:rsidRPr="004903C3" w:rsidRDefault="00D40730">
      <w:pPr>
        <w:pStyle w:val="TOC2"/>
        <w:rPr>
          <w:rFonts w:asciiTheme="minorHAnsi" w:eastAsiaTheme="minorEastAsia" w:hAnsiTheme="minorHAnsi" w:cstheme="minorHAnsi"/>
          <w:noProof/>
          <w:color w:val="948A54" w:themeColor="background2" w:themeShade="80"/>
          <w:sz w:val="22"/>
          <w:szCs w:val="22"/>
          <w:lang w:eastAsia="en-AU"/>
        </w:rPr>
      </w:pPr>
      <w:hyperlink w:anchor="_Toc315947182" w:history="1">
        <w:r w:rsidR="00621D19" w:rsidRPr="004903C3">
          <w:rPr>
            <w:rStyle w:val="Hyperlink"/>
            <w:rFonts w:asciiTheme="minorHAnsi" w:hAnsiTheme="minorHAnsi" w:cstheme="minorHAnsi"/>
            <w:noProof/>
            <w:color w:val="948A54" w:themeColor="background2" w:themeShade="80"/>
          </w:rPr>
          <w:t>5.1</w:t>
        </w:r>
        <w:r w:rsidR="00621D19" w:rsidRPr="004903C3">
          <w:rPr>
            <w:rFonts w:asciiTheme="minorHAnsi" w:eastAsiaTheme="minorEastAsia" w:hAnsiTheme="minorHAnsi" w:cstheme="minorHAnsi"/>
            <w:noProof/>
            <w:color w:val="948A54" w:themeColor="background2" w:themeShade="80"/>
            <w:sz w:val="22"/>
            <w:szCs w:val="22"/>
            <w:lang w:eastAsia="en-AU"/>
          </w:rPr>
          <w:tab/>
        </w:r>
        <w:r w:rsidR="00621D19" w:rsidRPr="004903C3">
          <w:rPr>
            <w:rStyle w:val="Hyperlink"/>
            <w:rFonts w:asciiTheme="minorHAnsi" w:hAnsiTheme="minorHAnsi" w:cstheme="minorHAnsi"/>
            <w:noProof/>
            <w:color w:val="948A54" w:themeColor="background2" w:themeShade="80"/>
          </w:rPr>
          <w:t>Snapshot of NWRN activities</w:t>
        </w:r>
        <w:r w:rsidR="00621D19" w:rsidRPr="004903C3">
          <w:rPr>
            <w:rFonts w:asciiTheme="minorHAnsi" w:hAnsiTheme="minorHAnsi" w:cstheme="minorHAnsi"/>
            <w:noProof/>
            <w:webHidden/>
            <w:color w:val="948A54" w:themeColor="background2" w:themeShade="80"/>
          </w:rPr>
          <w:tab/>
        </w:r>
        <w:r w:rsidR="00621D19" w:rsidRPr="004903C3">
          <w:rPr>
            <w:rFonts w:asciiTheme="minorHAnsi" w:hAnsiTheme="minorHAnsi" w:cstheme="minorHAnsi"/>
            <w:noProof/>
            <w:webHidden/>
            <w:color w:val="948A54" w:themeColor="background2" w:themeShade="80"/>
          </w:rPr>
          <w:fldChar w:fldCharType="begin"/>
        </w:r>
        <w:r w:rsidR="00621D19" w:rsidRPr="004903C3">
          <w:rPr>
            <w:rFonts w:asciiTheme="minorHAnsi" w:hAnsiTheme="minorHAnsi" w:cstheme="minorHAnsi"/>
            <w:noProof/>
            <w:webHidden/>
            <w:color w:val="948A54" w:themeColor="background2" w:themeShade="80"/>
          </w:rPr>
          <w:instrText xml:space="preserve"> PAGEREF _Toc315947182 \h </w:instrText>
        </w:r>
        <w:r w:rsidR="00621D19" w:rsidRPr="004903C3">
          <w:rPr>
            <w:rFonts w:asciiTheme="minorHAnsi" w:hAnsiTheme="minorHAnsi" w:cstheme="minorHAnsi"/>
            <w:noProof/>
            <w:webHidden/>
            <w:color w:val="948A54" w:themeColor="background2" w:themeShade="80"/>
          </w:rPr>
        </w:r>
        <w:r w:rsidR="00621D19" w:rsidRPr="004903C3">
          <w:rPr>
            <w:rFonts w:asciiTheme="minorHAnsi" w:hAnsiTheme="minorHAnsi" w:cstheme="minorHAnsi"/>
            <w:noProof/>
            <w:webHidden/>
            <w:color w:val="948A54" w:themeColor="background2" w:themeShade="80"/>
          </w:rPr>
          <w:fldChar w:fldCharType="separate"/>
        </w:r>
        <w:r w:rsidR="00E17883" w:rsidRPr="004903C3">
          <w:rPr>
            <w:rFonts w:asciiTheme="minorHAnsi" w:hAnsiTheme="minorHAnsi" w:cstheme="minorHAnsi"/>
            <w:noProof/>
            <w:webHidden/>
            <w:color w:val="948A54" w:themeColor="background2" w:themeShade="80"/>
          </w:rPr>
          <w:t>14</w:t>
        </w:r>
        <w:r w:rsidR="00621D19" w:rsidRPr="004903C3">
          <w:rPr>
            <w:rFonts w:asciiTheme="minorHAnsi" w:hAnsiTheme="minorHAnsi" w:cstheme="minorHAnsi"/>
            <w:noProof/>
            <w:webHidden/>
            <w:color w:val="948A54" w:themeColor="background2" w:themeShade="80"/>
          </w:rPr>
          <w:fldChar w:fldCharType="end"/>
        </w:r>
      </w:hyperlink>
    </w:p>
    <w:p w:rsidR="00621D19" w:rsidRPr="004903C3" w:rsidRDefault="00D40730">
      <w:pPr>
        <w:pStyle w:val="TOC2"/>
        <w:rPr>
          <w:rFonts w:asciiTheme="minorHAnsi" w:eastAsiaTheme="minorEastAsia" w:hAnsiTheme="minorHAnsi" w:cstheme="minorHAnsi"/>
          <w:noProof/>
          <w:color w:val="948A54" w:themeColor="background2" w:themeShade="80"/>
          <w:sz w:val="22"/>
          <w:szCs w:val="22"/>
          <w:lang w:eastAsia="en-AU"/>
        </w:rPr>
      </w:pPr>
      <w:hyperlink w:anchor="_Toc315947183" w:history="1">
        <w:r w:rsidR="00621D19" w:rsidRPr="004903C3">
          <w:rPr>
            <w:rStyle w:val="Hyperlink"/>
            <w:rFonts w:asciiTheme="minorHAnsi" w:hAnsiTheme="minorHAnsi" w:cstheme="minorHAnsi"/>
            <w:noProof/>
            <w:color w:val="948A54" w:themeColor="background2" w:themeShade="80"/>
          </w:rPr>
          <w:t>5.2</w:t>
        </w:r>
        <w:r w:rsidR="00621D19" w:rsidRPr="004903C3">
          <w:rPr>
            <w:rFonts w:asciiTheme="minorHAnsi" w:eastAsiaTheme="minorEastAsia" w:hAnsiTheme="minorHAnsi" w:cstheme="minorHAnsi"/>
            <w:noProof/>
            <w:color w:val="948A54" w:themeColor="background2" w:themeShade="80"/>
            <w:sz w:val="22"/>
            <w:szCs w:val="22"/>
            <w:lang w:eastAsia="en-AU"/>
          </w:rPr>
          <w:tab/>
        </w:r>
        <w:r w:rsidR="00621D19" w:rsidRPr="004903C3">
          <w:rPr>
            <w:rStyle w:val="Hyperlink"/>
            <w:rFonts w:asciiTheme="minorHAnsi" w:hAnsiTheme="minorHAnsi" w:cstheme="minorHAnsi"/>
            <w:noProof/>
            <w:color w:val="948A54" w:themeColor="background2" w:themeShade="80"/>
          </w:rPr>
          <w:t>What are the benefits for government of secretariat funding for the NWRN?</w:t>
        </w:r>
        <w:r w:rsidR="00621D19" w:rsidRPr="004903C3">
          <w:rPr>
            <w:rFonts w:asciiTheme="minorHAnsi" w:hAnsiTheme="minorHAnsi" w:cstheme="minorHAnsi"/>
            <w:noProof/>
            <w:webHidden/>
            <w:color w:val="948A54" w:themeColor="background2" w:themeShade="80"/>
          </w:rPr>
          <w:tab/>
        </w:r>
        <w:r w:rsidR="00621D19" w:rsidRPr="004903C3">
          <w:rPr>
            <w:rFonts w:asciiTheme="minorHAnsi" w:hAnsiTheme="minorHAnsi" w:cstheme="minorHAnsi"/>
            <w:noProof/>
            <w:webHidden/>
            <w:color w:val="948A54" w:themeColor="background2" w:themeShade="80"/>
          </w:rPr>
          <w:fldChar w:fldCharType="begin"/>
        </w:r>
        <w:r w:rsidR="00621D19" w:rsidRPr="004903C3">
          <w:rPr>
            <w:rFonts w:asciiTheme="minorHAnsi" w:hAnsiTheme="minorHAnsi" w:cstheme="minorHAnsi"/>
            <w:noProof/>
            <w:webHidden/>
            <w:color w:val="948A54" w:themeColor="background2" w:themeShade="80"/>
          </w:rPr>
          <w:instrText xml:space="preserve"> PAGEREF _Toc315947183 \h </w:instrText>
        </w:r>
        <w:r w:rsidR="00621D19" w:rsidRPr="004903C3">
          <w:rPr>
            <w:rFonts w:asciiTheme="minorHAnsi" w:hAnsiTheme="minorHAnsi" w:cstheme="minorHAnsi"/>
            <w:noProof/>
            <w:webHidden/>
            <w:color w:val="948A54" w:themeColor="background2" w:themeShade="80"/>
          </w:rPr>
        </w:r>
        <w:r w:rsidR="00621D19" w:rsidRPr="004903C3">
          <w:rPr>
            <w:rFonts w:asciiTheme="minorHAnsi" w:hAnsiTheme="minorHAnsi" w:cstheme="minorHAnsi"/>
            <w:noProof/>
            <w:webHidden/>
            <w:color w:val="948A54" w:themeColor="background2" w:themeShade="80"/>
          </w:rPr>
          <w:fldChar w:fldCharType="separate"/>
        </w:r>
        <w:r w:rsidR="00E17883" w:rsidRPr="004903C3">
          <w:rPr>
            <w:rFonts w:asciiTheme="minorHAnsi" w:hAnsiTheme="minorHAnsi" w:cstheme="minorHAnsi"/>
            <w:noProof/>
            <w:webHidden/>
            <w:color w:val="948A54" w:themeColor="background2" w:themeShade="80"/>
          </w:rPr>
          <w:t>16</w:t>
        </w:r>
        <w:r w:rsidR="00621D19" w:rsidRPr="004903C3">
          <w:rPr>
            <w:rFonts w:asciiTheme="minorHAnsi" w:hAnsiTheme="minorHAnsi" w:cstheme="minorHAnsi"/>
            <w:noProof/>
            <w:webHidden/>
            <w:color w:val="948A54" w:themeColor="background2" w:themeShade="80"/>
          </w:rPr>
          <w:fldChar w:fldCharType="end"/>
        </w:r>
      </w:hyperlink>
    </w:p>
    <w:p w:rsidR="00621D19" w:rsidRPr="004903C3" w:rsidRDefault="00D40730">
      <w:pPr>
        <w:pStyle w:val="TOC1"/>
        <w:rPr>
          <w:rFonts w:asciiTheme="minorHAnsi" w:eastAsiaTheme="minorEastAsia" w:hAnsiTheme="minorHAnsi" w:cstheme="minorHAnsi"/>
          <w:noProof/>
          <w:color w:val="948A54" w:themeColor="background2" w:themeShade="80"/>
          <w:sz w:val="22"/>
          <w:szCs w:val="22"/>
          <w:lang w:eastAsia="en-AU"/>
        </w:rPr>
      </w:pPr>
      <w:hyperlink w:anchor="_Toc315947184" w:history="1">
        <w:r w:rsidR="00621D19" w:rsidRPr="004903C3">
          <w:rPr>
            <w:rStyle w:val="Hyperlink"/>
            <w:rFonts w:asciiTheme="minorHAnsi" w:hAnsiTheme="minorHAnsi" w:cstheme="minorHAnsi"/>
            <w:noProof/>
            <w:color w:val="948A54" w:themeColor="background2" w:themeShade="80"/>
          </w:rPr>
          <w:t>6.</w:t>
        </w:r>
        <w:r w:rsidR="00621D19" w:rsidRPr="004903C3">
          <w:rPr>
            <w:rFonts w:asciiTheme="minorHAnsi" w:eastAsiaTheme="minorEastAsia" w:hAnsiTheme="minorHAnsi" w:cstheme="minorHAnsi"/>
            <w:noProof/>
            <w:color w:val="948A54" w:themeColor="background2" w:themeShade="80"/>
            <w:sz w:val="22"/>
            <w:szCs w:val="22"/>
            <w:lang w:eastAsia="en-AU"/>
          </w:rPr>
          <w:tab/>
        </w:r>
        <w:r w:rsidR="00621D19" w:rsidRPr="004903C3">
          <w:rPr>
            <w:rStyle w:val="Hyperlink"/>
            <w:rFonts w:asciiTheme="minorHAnsi" w:hAnsiTheme="minorHAnsi" w:cstheme="minorHAnsi"/>
            <w:noProof/>
            <w:color w:val="948A54" w:themeColor="background2" w:themeShade="80"/>
          </w:rPr>
          <w:t>Funding for an Online Independent Social Security Handbook National Community Access Project</w:t>
        </w:r>
        <w:r w:rsidR="00621D19" w:rsidRPr="004903C3">
          <w:rPr>
            <w:rFonts w:asciiTheme="minorHAnsi" w:hAnsiTheme="minorHAnsi" w:cstheme="minorHAnsi"/>
            <w:noProof/>
            <w:webHidden/>
            <w:color w:val="948A54" w:themeColor="background2" w:themeShade="80"/>
          </w:rPr>
          <w:tab/>
        </w:r>
        <w:r w:rsidR="00621D19" w:rsidRPr="004903C3">
          <w:rPr>
            <w:rFonts w:asciiTheme="minorHAnsi" w:hAnsiTheme="minorHAnsi" w:cstheme="minorHAnsi"/>
            <w:noProof/>
            <w:webHidden/>
            <w:color w:val="948A54" w:themeColor="background2" w:themeShade="80"/>
          </w:rPr>
          <w:fldChar w:fldCharType="begin"/>
        </w:r>
        <w:r w:rsidR="00621D19" w:rsidRPr="004903C3">
          <w:rPr>
            <w:rFonts w:asciiTheme="minorHAnsi" w:hAnsiTheme="minorHAnsi" w:cstheme="minorHAnsi"/>
            <w:noProof/>
            <w:webHidden/>
            <w:color w:val="948A54" w:themeColor="background2" w:themeShade="80"/>
          </w:rPr>
          <w:instrText xml:space="preserve"> PAGEREF _Toc315947184 \h </w:instrText>
        </w:r>
        <w:r w:rsidR="00621D19" w:rsidRPr="004903C3">
          <w:rPr>
            <w:rFonts w:asciiTheme="minorHAnsi" w:hAnsiTheme="minorHAnsi" w:cstheme="minorHAnsi"/>
            <w:noProof/>
            <w:webHidden/>
            <w:color w:val="948A54" w:themeColor="background2" w:themeShade="80"/>
          </w:rPr>
        </w:r>
        <w:r w:rsidR="00621D19" w:rsidRPr="004903C3">
          <w:rPr>
            <w:rFonts w:asciiTheme="minorHAnsi" w:hAnsiTheme="minorHAnsi" w:cstheme="minorHAnsi"/>
            <w:noProof/>
            <w:webHidden/>
            <w:color w:val="948A54" w:themeColor="background2" w:themeShade="80"/>
          </w:rPr>
          <w:fldChar w:fldCharType="separate"/>
        </w:r>
        <w:r w:rsidR="00E17883" w:rsidRPr="004903C3">
          <w:rPr>
            <w:rFonts w:asciiTheme="minorHAnsi" w:hAnsiTheme="minorHAnsi" w:cstheme="minorHAnsi"/>
            <w:noProof/>
            <w:webHidden/>
            <w:color w:val="948A54" w:themeColor="background2" w:themeShade="80"/>
          </w:rPr>
          <w:t>17</w:t>
        </w:r>
        <w:r w:rsidR="00621D19" w:rsidRPr="004903C3">
          <w:rPr>
            <w:rFonts w:asciiTheme="minorHAnsi" w:hAnsiTheme="minorHAnsi" w:cstheme="minorHAnsi"/>
            <w:noProof/>
            <w:webHidden/>
            <w:color w:val="948A54" w:themeColor="background2" w:themeShade="80"/>
          </w:rPr>
          <w:fldChar w:fldCharType="end"/>
        </w:r>
      </w:hyperlink>
    </w:p>
    <w:p w:rsidR="00621D19" w:rsidRPr="004903C3" w:rsidRDefault="00D40730">
      <w:pPr>
        <w:pStyle w:val="TOC1"/>
        <w:rPr>
          <w:rFonts w:asciiTheme="minorHAnsi" w:eastAsiaTheme="minorEastAsia" w:hAnsiTheme="minorHAnsi" w:cstheme="minorHAnsi"/>
          <w:noProof/>
          <w:color w:val="948A54" w:themeColor="background2" w:themeShade="80"/>
          <w:sz w:val="22"/>
          <w:szCs w:val="22"/>
          <w:lang w:eastAsia="en-AU"/>
        </w:rPr>
      </w:pPr>
      <w:hyperlink w:anchor="_Toc315947185" w:history="1">
        <w:r w:rsidR="00621D19" w:rsidRPr="004903C3">
          <w:rPr>
            <w:rStyle w:val="Hyperlink"/>
            <w:rFonts w:asciiTheme="minorHAnsi" w:hAnsiTheme="minorHAnsi" w:cstheme="minorHAnsi"/>
            <w:noProof/>
            <w:color w:val="948A54" w:themeColor="background2" w:themeShade="80"/>
          </w:rPr>
          <w:t>7.</w:t>
        </w:r>
        <w:r w:rsidR="00621D19" w:rsidRPr="004903C3">
          <w:rPr>
            <w:rFonts w:asciiTheme="minorHAnsi" w:eastAsiaTheme="minorEastAsia" w:hAnsiTheme="minorHAnsi" w:cstheme="minorHAnsi"/>
            <w:noProof/>
            <w:color w:val="948A54" w:themeColor="background2" w:themeShade="80"/>
            <w:sz w:val="22"/>
            <w:szCs w:val="22"/>
            <w:lang w:eastAsia="en-AU"/>
          </w:rPr>
          <w:tab/>
        </w:r>
        <w:r w:rsidR="00621D19" w:rsidRPr="004903C3">
          <w:rPr>
            <w:rStyle w:val="Hyperlink"/>
            <w:rFonts w:asciiTheme="minorHAnsi" w:hAnsiTheme="minorHAnsi" w:cstheme="minorHAnsi"/>
            <w:noProof/>
            <w:color w:val="948A54" w:themeColor="background2" w:themeShade="80"/>
          </w:rPr>
          <w:t>Attachment 1.</w:t>
        </w:r>
        <w:r w:rsidR="00621D19" w:rsidRPr="004903C3">
          <w:rPr>
            <w:rFonts w:asciiTheme="minorHAnsi" w:hAnsiTheme="minorHAnsi" w:cstheme="minorHAnsi"/>
            <w:noProof/>
            <w:webHidden/>
            <w:color w:val="948A54" w:themeColor="background2" w:themeShade="80"/>
          </w:rPr>
          <w:tab/>
        </w:r>
        <w:r w:rsidR="00621D19" w:rsidRPr="004903C3">
          <w:rPr>
            <w:rFonts w:asciiTheme="minorHAnsi" w:hAnsiTheme="minorHAnsi" w:cstheme="minorHAnsi"/>
            <w:noProof/>
            <w:webHidden/>
            <w:color w:val="948A54" w:themeColor="background2" w:themeShade="80"/>
          </w:rPr>
          <w:fldChar w:fldCharType="begin"/>
        </w:r>
        <w:r w:rsidR="00621D19" w:rsidRPr="004903C3">
          <w:rPr>
            <w:rFonts w:asciiTheme="minorHAnsi" w:hAnsiTheme="minorHAnsi" w:cstheme="minorHAnsi"/>
            <w:noProof/>
            <w:webHidden/>
            <w:color w:val="948A54" w:themeColor="background2" w:themeShade="80"/>
          </w:rPr>
          <w:instrText xml:space="preserve"> PAGEREF _Toc315947185 \h </w:instrText>
        </w:r>
        <w:r w:rsidR="00621D19" w:rsidRPr="004903C3">
          <w:rPr>
            <w:rFonts w:asciiTheme="minorHAnsi" w:hAnsiTheme="minorHAnsi" w:cstheme="minorHAnsi"/>
            <w:noProof/>
            <w:webHidden/>
            <w:color w:val="948A54" w:themeColor="background2" w:themeShade="80"/>
          </w:rPr>
        </w:r>
        <w:r w:rsidR="00621D19" w:rsidRPr="004903C3">
          <w:rPr>
            <w:rFonts w:asciiTheme="minorHAnsi" w:hAnsiTheme="minorHAnsi" w:cstheme="minorHAnsi"/>
            <w:noProof/>
            <w:webHidden/>
            <w:color w:val="948A54" w:themeColor="background2" w:themeShade="80"/>
          </w:rPr>
          <w:fldChar w:fldCharType="separate"/>
        </w:r>
        <w:r w:rsidR="00E17883" w:rsidRPr="004903C3">
          <w:rPr>
            <w:rFonts w:asciiTheme="minorHAnsi" w:hAnsiTheme="minorHAnsi" w:cstheme="minorHAnsi"/>
            <w:noProof/>
            <w:webHidden/>
            <w:color w:val="948A54" w:themeColor="background2" w:themeShade="80"/>
          </w:rPr>
          <w:t>19</w:t>
        </w:r>
        <w:r w:rsidR="00621D19" w:rsidRPr="004903C3">
          <w:rPr>
            <w:rFonts w:asciiTheme="minorHAnsi" w:hAnsiTheme="minorHAnsi" w:cstheme="minorHAnsi"/>
            <w:noProof/>
            <w:webHidden/>
            <w:color w:val="948A54" w:themeColor="background2" w:themeShade="80"/>
          </w:rPr>
          <w:fldChar w:fldCharType="end"/>
        </w:r>
      </w:hyperlink>
    </w:p>
    <w:p w:rsidR="00621D19" w:rsidRPr="004903C3" w:rsidRDefault="00D40730">
      <w:pPr>
        <w:pStyle w:val="TOC1"/>
        <w:rPr>
          <w:rFonts w:asciiTheme="minorHAnsi" w:eastAsiaTheme="minorEastAsia" w:hAnsiTheme="minorHAnsi" w:cstheme="minorHAnsi"/>
          <w:noProof/>
          <w:color w:val="948A54" w:themeColor="background2" w:themeShade="80"/>
          <w:sz w:val="22"/>
          <w:szCs w:val="22"/>
          <w:lang w:eastAsia="en-AU"/>
        </w:rPr>
      </w:pPr>
      <w:hyperlink w:anchor="_Toc315947186" w:history="1">
        <w:r w:rsidR="00621D19" w:rsidRPr="004903C3">
          <w:rPr>
            <w:rStyle w:val="Hyperlink"/>
            <w:rFonts w:asciiTheme="minorHAnsi" w:hAnsiTheme="minorHAnsi" w:cstheme="minorHAnsi"/>
            <w:noProof/>
            <w:color w:val="948A54" w:themeColor="background2" w:themeShade="80"/>
          </w:rPr>
          <w:t>8.</w:t>
        </w:r>
        <w:r w:rsidR="00621D19" w:rsidRPr="004903C3">
          <w:rPr>
            <w:rFonts w:asciiTheme="minorHAnsi" w:eastAsiaTheme="minorEastAsia" w:hAnsiTheme="minorHAnsi" w:cstheme="minorHAnsi"/>
            <w:noProof/>
            <w:color w:val="948A54" w:themeColor="background2" w:themeShade="80"/>
            <w:sz w:val="22"/>
            <w:szCs w:val="22"/>
            <w:lang w:eastAsia="en-AU"/>
          </w:rPr>
          <w:tab/>
        </w:r>
        <w:r w:rsidR="00621D19" w:rsidRPr="004903C3">
          <w:rPr>
            <w:rStyle w:val="Hyperlink"/>
            <w:rFonts w:asciiTheme="minorHAnsi" w:hAnsiTheme="minorHAnsi" w:cstheme="minorHAnsi"/>
            <w:noProof/>
            <w:color w:val="948A54" w:themeColor="background2" w:themeShade="80"/>
          </w:rPr>
          <w:t>Attachment 2.</w:t>
        </w:r>
        <w:r w:rsidR="00621D19" w:rsidRPr="004903C3">
          <w:rPr>
            <w:rFonts w:asciiTheme="minorHAnsi" w:hAnsiTheme="minorHAnsi" w:cstheme="minorHAnsi"/>
            <w:noProof/>
            <w:webHidden/>
            <w:color w:val="948A54" w:themeColor="background2" w:themeShade="80"/>
          </w:rPr>
          <w:tab/>
        </w:r>
        <w:r w:rsidR="00621D19" w:rsidRPr="004903C3">
          <w:rPr>
            <w:rFonts w:asciiTheme="minorHAnsi" w:hAnsiTheme="minorHAnsi" w:cstheme="minorHAnsi"/>
            <w:noProof/>
            <w:webHidden/>
            <w:color w:val="948A54" w:themeColor="background2" w:themeShade="80"/>
          </w:rPr>
          <w:fldChar w:fldCharType="begin"/>
        </w:r>
        <w:r w:rsidR="00621D19" w:rsidRPr="004903C3">
          <w:rPr>
            <w:rFonts w:asciiTheme="minorHAnsi" w:hAnsiTheme="minorHAnsi" w:cstheme="minorHAnsi"/>
            <w:noProof/>
            <w:webHidden/>
            <w:color w:val="948A54" w:themeColor="background2" w:themeShade="80"/>
          </w:rPr>
          <w:instrText xml:space="preserve"> PAGEREF _Toc315947186 \h </w:instrText>
        </w:r>
        <w:r w:rsidR="00621D19" w:rsidRPr="004903C3">
          <w:rPr>
            <w:rFonts w:asciiTheme="minorHAnsi" w:hAnsiTheme="minorHAnsi" w:cstheme="minorHAnsi"/>
            <w:noProof/>
            <w:webHidden/>
            <w:color w:val="948A54" w:themeColor="background2" w:themeShade="80"/>
          </w:rPr>
        </w:r>
        <w:r w:rsidR="00621D19" w:rsidRPr="004903C3">
          <w:rPr>
            <w:rFonts w:asciiTheme="minorHAnsi" w:hAnsiTheme="minorHAnsi" w:cstheme="minorHAnsi"/>
            <w:noProof/>
            <w:webHidden/>
            <w:color w:val="948A54" w:themeColor="background2" w:themeShade="80"/>
          </w:rPr>
          <w:fldChar w:fldCharType="separate"/>
        </w:r>
        <w:r w:rsidR="00E17883" w:rsidRPr="004903C3">
          <w:rPr>
            <w:rFonts w:asciiTheme="minorHAnsi" w:hAnsiTheme="minorHAnsi" w:cstheme="minorHAnsi"/>
            <w:noProof/>
            <w:webHidden/>
            <w:color w:val="948A54" w:themeColor="background2" w:themeShade="80"/>
          </w:rPr>
          <w:t>20</w:t>
        </w:r>
        <w:r w:rsidR="00621D19" w:rsidRPr="004903C3">
          <w:rPr>
            <w:rFonts w:asciiTheme="minorHAnsi" w:hAnsiTheme="minorHAnsi" w:cstheme="minorHAnsi"/>
            <w:noProof/>
            <w:webHidden/>
            <w:color w:val="948A54" w:themeColor="background2" w:themeShade="80"/>
          </w:rPr>
          <w:fldChar w:fldCharType="end"/>
        </w:r>
      </w:hyperlink>
    </w:p>
    <w:p w:rsidR="00621D19" w:rsidRPr="004903C3" w:rsidRDefault="00D40730">
      <w:pPr>
        <w:pStyle w:val="TOC1"/>
        <w:rPr>
          <w:rFonts w:asciiTheme="minorHAnsi" w:eastAsiaTheme="minorEastAsia" w:hAnsiTheme="minorHAnsi" w:cstheme="minorHAnsi"/>
          <w:noProof/>
          <w:color w:val="948A54" w:themeColor="background2" w:themeShade="80"/>
          <w:sz w:val="22"/>
          <w:szCs w:val="22"/>
          <w:lang w:eastAsia="en-AU"/>
        </w:rPr>
      </w:pPr>
      <w:hyperlink w:anchor="_Toc315947187" w:history="1">
        <w:r w:rsidR="00621D19" w:rsidRPr="004903C3">
          <w:rPr>
            <w:rStyle w:val="Hyperlink"/>
            <w:rFonts w:asciiTheme="minorHAnsi" w:hAnsiTheme="minorHAnsi" w:cstheme="minorHAnsi"/>
            <w:noProof/>
            <w:color w:val="948A54" w:themeColor="background2" w:themeShade="80"/>
          </w:rPr>
          <w:t>9.</w:t>
        </w:r>
        <w:r w:rsidR="00621D19" w:rsidRPr="004903C3">
          <w:rPr>
            <w:rFonts w:asciiTheme="minorHAnsi" w:eastAsiaTheme="minorEastAsia" w:hAnsiTheme="minorHAnsi" w:cstheme="minorHAnsi"/>
            <w:noProof/>
            <w:color w:val="948A54" w:themeColor="background2" w:themeShade="80"/>
            <w:sz w:val="22"/>
            <w:szCs w:val="22"/>
            <w:lang w:eastAsia="en-AU"/>
          </w:rPr>
          <w:tab/>
        </w:r>
        <w:r w:rsidR="00621D19" w:rsidRPr="004903C3">
          <w:rPr>
            <w:rStyle w:val="Hyperlink"/>
            <w:rFonts w:asciiTheme="minorHAnsi" w:hAnsiTheme="minorHAnsi" w:cstheme="minorHAnsi"/>
            <w:noProof/>
            <w:color w:val="948A54" w:themeColor="background2" w:themeShade="80"/>
          </w:rPr>
          <w:t>Attachment 3.</w:t>
        </w:r>
        <w:r w:rsidR="00621D19" w:rsidRPr="004903C3">
          <w:rPr>
            <w:rFonts w:asciiTheme="minorHAnsi" w:hAnsiTheme="minorHAnsi" w:cstheme="minorHAnsi"/>
            <w:noProof/>
            <w:webHidden/>
            <w:color w:val="948A54" w:themeColor="background2" w:themeShade="80"/>
          </w:rPr>
          <w:tab/>
        </w:r>
        <w:r w:rsidR="00621D19" w:rsidRPr="004903C3">
          <w:rPr>
            <w:rFonts w:asciiTheme="minorHAnsi" w:hAnsiTheme="minorHAnsi" w:cstheme="minorHAnsi"/>
            <w:noProof/>
            <w:webHidden/>
            <w:color w:val="948A54" w:themeColor="background2" w:themeShade="80"/>
          </w:rPr>
          <w:fldChar w:fldCharType="begin"/>
        </w:r>
        <w:r w:rsidR="00621D19" w:rsidRPr="004903C3">
          <w:rPr>
            <w:rFonts w:asciiTheme="minorHAnsi" w:hAnsiTheme="minorHAnsi" w:cstheme="minorHAnsi"/>
            <w:noProof/>
            <w:webHidden/>
            <w:color w:val="948A54" w:themeColor="background2" w:themeShade="80"/>
          </w:rPr>
          <w:instrText xml:space="preserve"> PAGEREF _Toc315947187 \h </w:instrText>
        </w:r>
        <w:r w:rsidR="00621D19" w:rsidRPr="004903C3">
          <w:rPr>
            <w:rFonts w:asciiTheme="minorHAnsi" w:hAnsiTheme="minorHAnsi" w:cstheme="minorHAnsi"/>
            <w:noProof/>
            <w:webHidden/>
            <w:color w:val="948A54" w:themeColor="background2" w:themeShade="80"/>
          </w:rPr>
        </w:r>
        <w:r w:rsidR="00621D19" w:rsidRPr="004903C3">
          <w:rPr>
            <w:rFonts w:asciiTheme="minorHAnsi" w:hAnsiTheme="minorHAnsi" w:cstheme="minorHAnsi"/>
            <w:noProof/>
            <w:webHidden/>
            <w:color w:val="948A54" w:themeColor="background2" w:themeShade="80"/>
          </w:rPr>
          <w:fldChar w:fldCharType="separate"/>
        </w:r>
        <w:r w:rsidR="00E17883" w:rsidRPr="004903C3">
          <w:rPr>
            <w:rFonts w:asciiTheme="minorHAnsi" w:hAnsiTheme="minorHAnsi" w:cstheme="minorHAnsi"/>
            <w:noProof/>
            <w:webHidden/>
            <w:color w:val="948A54" w:themeColor="background2" w:themeShade="80"/>
          </w:rPr>
          <w:t>21</w:t>
        </w:r>
        <w:r w:rsidR="00621D19" w:rsidRPr="004903C3">
          <w:rPr>
            <w:rFonts w:asciiTheme="minorHAnsi" w:hAnsiTheme="minorHAnsi" w:cstheme="minorHAnsi"/>
            <w:noProof/>
            <w:webHidden/>
            <w:color w:val="948A54" w:themeColor="background2" w:themeShade="80"/>
          </w:rPr>
          <w:fldChar w:fldCharType="end"/>
        </w:r>
      </w:hyperlink>
    </w:p>
    <w:p w:rsidR="00543317" w:rsidRDefault="00543317" w:rsidP="00543317">
      <w:pPr>
        <w:rPr>
          <w:color w:val="948A54" w:themeColor="background2" w:themeShade="80"/>
        </w:rPr>
      </w:pPr>
      <w:r w:rsidRPr="004903C3">
        <w:rPr>
          <w:rFonts w:asciiTheme="minorHAnsi" w:hAnsiTheme="minorHAnsi" w:cstheme="minorHAnsi"/>
          <w:color w:val="948A54" w:themeColor="background2" w:themeShade="80"/>
        </w:rPr>
        <w:fldChar w:fldCharType="end"/>
      </w:r>
    </w:p>
    <w:p w:rsidR="00543317" w:rsidRDefault="00543317" w:rsidP="00543317">
      <w:r>
        <w:br w:type="page"/>
      </w:r>
    </w:p>
    <w:p w:rsidR="00543317" w:rsidRPr="00543317" w:rsidRDefault="00543317" w:rsidP="00543317"/>
    <w:p w:rsidR="00196F16" w:rsidRPr="00196F16" w:rsidRDefault="00196F16" w:rsidP="00196F16"/>
    <w:p w:rsidR="00212CD5" w:rsidRPr="00E27920" w:rsidRDefault="00212CD5" w:rsidP="00196F16">
      <w:pPr>
        <w:pStyle w:val="Heading1"/>
        <w:numPr>
          <w:ilvl w:val="0"/>
          <w:numId w:val="30"/>
        </w:numPr>
        <w:ind w:left="567" w:hanging="567"/>
      </w:pPr>
      <w:bookmarkStart w:id="1" w:name="_Toc315947175"/>
      <w:r w:rsidRPr="00FB1771">
        <w:t>About the National Welfare Rights Network</w:t>
      </w:r>
      <w:bookmarkEnd w:id="1"/>
    </w:p>
    <w:p w:rsidR="00212CD5" w:rsidRPr="00FB1771" w:rsidRDefault="00212CD5" w:rsidP="00E27920">
      <w:pPr>
        <w:pStyle w:val="Heading3"/>
      </w:pPr>
      <w:r w:rsidRPr="00FB1771">
        <w:t>Our work</w:t>
      </w:r>
    </w:p>
    <w:p w:rsidR="00212CD5" w:rsidRPr="00FB1771" w:rsidRDefault="00212CD5" w:rsidP="00FB1771">
      <w:pPr>
        <w:pStyle w:val="Body"/>
      </w:pPr>
      <w:r w:rsidRPr="00FB1771">
        <w:t xml:space="preserve">The National Welfare Rights Network (NWRN) is a network of community legal centres throughout Australia which specialise in Social Security law and its administration by </w:t>
      </w:r>
      <w:proofErr w:type="spellStart"/>
      <w:r w:rsidRPr="00FB1771">
        <w:t>Centrelink</w:t>
      </w:r>
      <w:proofErr w:type="spellEnd"/>
      <w:r w:rsidRPr="00FB1771">
        <w:t xml:space="preserve">. Based on the experience of clients of NWRN members, the Network also develops policy and advocates for reform. </w:t>
      </w:r>
    </w:p>
    <w:p w:rsidR="00212CD5" w:rsidRPr="00FB1771" w:rsidRDefault="00212CD5" w:rsidP="00FB1771">
      <w:pPr>
        <w:pStyle w:val="Body"/>
      </w:pPr>
      <w:r w:rsidRPr="00FB1771">
        <w:t>NWRN member organisations provide casework assistance to their clients, generally by phone, at least in the first instance. NWRN members also conduct training and education for community workers and produce publications to help Social Security recipients and community organisations understand the system. The NWRN also engages in policy analysis and lobbying to improve the current Social Security system and its administration.</w:t>
      </w:r>
    </w:p>
    <w:p w:rsidR="00212CD5" w:rsidRDefault="00212CD5" w:rsidP="00E27920">
      <w:pPr>
        <w:pStyle w:val="Heading3"/>
      </w:pPr>
      <w:r>
        <w:t>Our aim</w:t>
      </w:r>
    </w:p>
    <w:p w:rsidR="00212CD5" w:rsidRDefault="00212CD5" w:rsidP="00FB1771">
      <w:pPr>
        <w:pStyle w:val="Body"/>
      </w:pPr>
      <w:r>
        <w:t>NWRN member organisations, individual Welfare Rights centres and services throughout Australia, aim to reduce poverty, hardship and inequality in Australia by:</w:t>
      </w:r>
    </w:p>
    <w:p w:rsidR="00212CD5" w:rsidRDefault="00212CD5" w:rsidP="00FB1771">
      <w:pPr>
        <w:numPr>
          <w:ilvl w:val="0"/>
          <w:numId w:val="12"/>
        </w:numPr>
        <w:spacing w:before="100" w:beforeAutospacing="1"/>
        <w:jc w:val="both"/>
        <w:rPr>
          <w:rFonts w:ascii="Calibri" w:hAnsi="Calibri" w:cs="Calibri"/>
          <w:sz w:val="22"/>
          <w:szCs w:val="22"/>
        </w:rPr>
      </w:pPr>
      <w:r>
        <w:rPr>
          <w:rFonts w:ascii="Calibri" w:hAnsi="Calibri" w:cs="Calibri"/>
          <w:sz w:val="22"/>
          <w:szCs w:val="22"/>
        </w:rPr>
        <w:t xml:space="preserve">providing casework advice and assistance to individuals to ensure they can exercise their rights, fulfil their obligations, meet their responsibilities and maximise their entitlements under the Australian Social Security system; and </w:t>
      </w:r>
    </w:p>
    <w:p w:rsidR="00212CD5" w:rsidRDefault="00212CD5" w:rsidP="00212CD5">
      <w:pPr>
        <w:numPr>
          <w:ilvl w:val="0"/>
          <w:numId w:val="12"/>
        </w:numPr>
        <w:spacing w:before="100" w:beforeAutospacing="1" w:after="100" w:afterAutospacing="1"/>
        <w:jc w:val="both"/>
        <w:rPr>
          <w:rFonts w:ascii="Calibri" w:hAnsi="Calibri" w:cs="Calibri"/>
          <w:sz w:val="22"/>
          <w:szCs w:val="22"/>
        </w:rPr>
      </w:pPr>
      <w:proofErr w:type="gramStart"/>
      <w:r>
        <w:rPr>
          <w:rFonts w:ascii="Calibri" w:hAnsi="Calibri" w:cs="Calibri"/>
          <w:sz w:val="22"/>
          <w:szCs w:val="22"/>
        </w:rPr>
        <w:t>advocating</w:t>
      </w:r>
      <w:proofErr w:type="gramEnd"/>
      <w:r>
        <w:rPr>
          <w:rFonts w:ascii="Calibri" w:hAnsi="Calibri" w:cs="Calibri"/>
          <w:sz w:val="22"/>
          <w:szCs w:val="22"/>
        </w:rPr>
        <w:t xml:space="preserve"> for the maintenance of a Social Security system that has rights and entitlements, obligations and responsibilities, detailed under and protected by law. </w:t>
      </w:r>
    </w:p>
    <w:p w:rsidR="00212CD5" w:rsidRPr="00FB1771" w:rsidRDefault="00212CD5" w:rsidP="00E27920">
      <w:pPr>
        <w:pStyle w:val="Heading3"/>
      </w:pPr>
      <w:r w:rsidRPr="00FB1771">
        <w:t>Our principles</w:t>
      </w:r>
    </w:p>
    <w:p w:rsidR="00212CD5" w:rsidRDefault="00212CD5" w:rsidP="00FB1771">
      <w:pPr>
        <w:pStyle w:val="Body"/>
      </w:pPr>
      <w:r>
        <w:t>The NWRN advocates that the Social Security system in Australia should be characterised by an uncompromising recognition of the following rights:</w:t>
      </w:r>
    </w:p>
    <w:p w:rsidR="00212CD5" w:rsidRDefault="00212CD5" w:rsidP="00212CD5">
      <w:pPr>
        <w:numPr>
          <w:ilvl w:val="0"/>
          <w:numId w:val="13"/>
        </w:numPr>
        <w:spacing w:before="100" w:beforeAutospacing="1" w:after="100" w:afterAutospacing="1"/>
        <w:jc w:val="both"/>
        <w:rPr>
          <w:rFonts w:ascii="Calibri" w:hAnsi="Calibri" w:cs="Calibri"/>
          <w:sz w:val="22"/>
          <w:szCs w:val="22"/>
        </w:rPr>
      </w:pPr>
      <w:r>
        <w:rPr>
          <w:rFonts w:ascii="Calibri" w:hAnsi="Calibri" w:cs="Calibri"/>
          <w:sz w:val="22"/>
          <w:szCs w:val="22"/>
        </w:rPr>
        <w:t xml:space="preserve">the right of all people in need to an adequate level of income support which is protected by law; </w:t>
      </w:r>
    </w:p>
    <w:p w:rsidR="00212CD5" w:rsidRDefault="00212CD5" w:rsidP="00212CD5">
      <w:pPr>
        <w:numPr>
          <w:ilvl w:val="0"/>
          <w:numId w:val="13"/>
        </w:numPr>
        <w:spacing w:before="100" w:beforeAutospacing="1" w:after="100" w:afterAutospacing="1"/>
        <w:jc w:val="both"/>
        <w:rPr>
          <w:rFonts w:ascii="Calibri" w:hAnsi="Calibri" w:cs="Calibri"/>
          <w:sz w:val="22"/>
          <w:szCs w:val="22"/>
        </w:rPr>
      </w:pPr>
      <w:r>
        <w:rPr>
          <w:rFonts w:ascii="Calibri" w:hAnsi="Calibri" w:cs="Calibri"/>
          <w:sz w:val="22"/>
          <w:szCs w:val="22"/>
        </w:rPr>
        <w:t xml:space="preserve">the right of people to be treated with respect and dignity by </w:t>
      </w:r>
      <w:proofErr w:type="spellStart"/>
      <w:r>
        <w:rPr>
          <w:rFonts w:ascii="Calibri" w:hAnsi="Calibri" w:cs="Calibri"/>
          <w:sz w:val="22"/>
          <w:szCs w:val="22"/>
        </w:rPr>
        <w:t>Centrelink</w:t>
      </w:r>
      <w:proofErr w:type="spellEnd"/>
      <w:r>
        <w:rPr>
          <w:rFonts w:ascii="Calibri" w:hAnsi="Calibri" w:cs="Calibri"/>
          <w:sz w:val="22"/>
          <w:szCs w:val="22"/>
        </w:rPr>
        <w:t xml:space="preserve"> and those administering the Social Security system; </w:t>
      </w:r>
    </w:p>
    <w:p w:rsidR="00212CD5" w:rsidRDefault="00212CD5" w:rsidP="00212CD5">
      <w:pPr>
        <w:numPr>
          <w:ilvl w:val="0"/>
          <w:numId w:val="13"/>
        </w:numPr>
        <w:spacing w:before="100" w:beforeAutospacing="1" w:after="100" w:afterAutospacing="1"/>
        <w:jc w:val="both"/>
        <w:rPr>
          <w:rFonts w:ascii="Calibri" w:hAnsi="Calibri" w:cs="Calibri"/>
          <w:sz w:val="22"/>
          <w:szCs w:val="22"/>
        </w:rPr>
      </w:pPr>
      <w:r>
        <w:rPr>
          <w:rFonts w:ascii="Calibri" w:hAnsi="Calibri" w:cs="Calibri"/>
          <w:sz w:val="22"/>
          <w:szCs w:val="22"/>
        </w:rPr>
        <w:t xml:space="preserve">the right to accessible information about Social Security rights and entitlements, obligations and responsibilities; </w:t>
      </w:r>
    </w:p>
    <w:p w:rsidR="00212CD5" w:rsidRDefault="00212CD5" w:rsidP="00212CD5">
      <w:pPr>
        <w:numPr>
          <w:ilvl w:val="0"/>
          <w:numId w:val="13"/>
        </w:numPr>
        <w:spacing w:before="100" w:beforeAutospacing="1" w:after="100" w:afterAutospacing="1"/>
        <w:jc w:val="both"/>
        <w:rPr>
          <w:rFonts w:ascii="Calibri" w:hAnsi="Calibri" w:cs="Calibri"/>
          <w:sz w:val="22"/>
          <w:szCs w:val="22"/>
        </w:rPr>
      </w:pPr>
      <w:r>
        <w:rPr>
          <w:rFonts w:ascii="Calibri" w:hAnsi="Calibri" w:cs="Calibri"/>
          <w:sz w:val="22"/>
          <w:szCs w:val="22"/>
        </w:rPr>
        <w:t xml:space="preserve">the right to receive prompt and appropriate service and Social Security payments without delay; </w:t>
      </w:r>
    </w:p>
    <w:p w:rsidR="00212CD5" w:rsidRDefault="00212CD5" w:rsidP="00212CD5">
      <w:pPr>
        <w:numPr>
          <w:ilvl w:val="0"/>
          <w:numId w:val="13"/>
        </w:numPr>
        <w:spacing w:before="100" w:beforeAutospacing="1" w:after="100" w:afterAutospacing="1"/>
        <w:jc w:val="both"/>
        <w:rPr>
          <w:rFonts w:ascii="Calibri" w:hAnsi="Calibri" w:cs="Calibri"/>
          <w:sz w:val="22"/>
          <w:szCs w:val="22"/>
        </w:rPr>
      </w:pPr>
      <w:r>
        <w:rPr>
          <w:rFonts w:ascii="Calibri" w:hAnsi="Calibri" w:cs="Calibri"/>
          <w:sz w:val="22"/>
          <w:szCs w:val="22"/>
        </w:rPr>
        <w:t xml:space="preserve">the right to a free, independent, informal, efficient and fair appeal system; </w:t>
      </w:r>
    </w:p>
    <w:p w:rsidR="00212CD5" w:rsidRDefault="00212CD5" w:rsidP="00212CD5">
      <w:pPr>
        <w:numPr>
          <w:ilvl w:val="0"/>
          <w:numId w:val="13"/>
        </w:numPr>
        <w:spacing w:before="100" w:beforeAutospacing="1" w:after="100" w:afterAutospacing="1"/>
        <w:jc w:val="both"/>
        <w:rPr>
          <w:rFonts w:ascii="Calibri" w:hAnsi="Calibri" w:cs="Calibri"/>
          <w:sz w:val="22"/>
          <w:szCs w:val="22"/>
        </w:rPr>
      </w:pPr>
      <w:r>
        <w:rPr>
          <w:rFonts w:ascii="Calibri" w:hAnsi="Calibri" w:cs="Calibri"/>
          <w:sz w:val="22"/>
          <w:szCs w:val="22"/>
        </w:rPr>
        <w:t xml:space="preserve">the right to an independent complaints system; and </w:t>
      </w:r>
    </w:p>
    <w:p w:rsidR="00212CD5" w:rsidRDefault="00212CD5" w:rsidP="00212CD5">
      <w:pPr>
        <w:numPr>
          <w:ilvl w:val="0"/>
          <w:numId w:val="13"/>
        </w:numPr>
        <w:spacing w:before="100" w:beforeAutospacing="1" w:after="100" w:afterAutospacing="1"/>
        <w:jc w:val="both"/>
        <w:rPr>
          <w:rFonts w:ascii="Calibri" w:hAnsi="Calibri" w:cs="Calibri"/>
          <w:sz w:val="22"/>
          <w:szCs w:val="22"/>
        </w:rPr>
      </w:pPr>
      <w:proofErr w:type="gramStart"/>
      <w:r>
        <w:rPr>
          <w:rFonts w:ascii="Calibri" w:hAnsi="Calibri" w:cs="Calibri"/>
          <w:sz w:val="22"/>
          <w:szCs w:val="22"/>
        </w:rPr>
        <w:t>the</w:t>
      </w:r>
      <w:proofErr w:type="gramEnd"/>
      <w:r>
        <w:rPr>
          <w:rFonts w:ascii="Calibri" w:hAnsi="Calibri" w:cs="Calibri"/>
          <w:sz w:val="22"/>
          <w:szCs w:val="22"/>
        </w:rPr>
        <w:t xml:space="preserve"> right to independent advice and representation. </w:t>
      </w:r>
    </w:p>
    <w:p w:rsidR="00212CD5" w:rsidRPr="00E27920" w:rsidRDefault="00212CD5" w:rsidP="00E27920">
      <w:pPr>
        <w:pStyle w:val="Heading1"/>
      </w:pPr>
      <w:r>
        <w:br w:type="page"/>
      </w:r>
      <w:bookmarkStart w:id="2" w:name="_Toc315947176"/>
      <w:r>
        <w:lastRenderedPageBreak/>
        <w:t>Executive summary</w:t>
      </w:r>
      <w:bookmarkEnd w:id="2"/>
    </w:p>
    <w:p w:rsidR="00212CD5" w:rsidRDefault="00212CD5" w:rsidP="00212CD5">
      <w:pPr>
        <w:pStyle w:val="Default"/>
        <w:jc w:val="both"/>
        <w:rPr>
          <w:bCs/>
          <w:sz w:val="22"/>
          <w:szCs w:val="22"/>
        </w:rPr>
      </w:pPr>
      <w:r>
        <w:rPr>
          <w:bCs/>
          <w:sz w:val="22"/>
          <w:szCs w:val="22"/>
        </w:rPr>
        <w:t xml:space="preserve">The National Welfare Rights Network is a unique community organisation in Australia. It comprises a network of 16 community legal services who provide both one-off advice and ongoing assistance to Australians who experience problems with </w:t>
      </w:r>
      <w:proofErr w:type="spellStart"/>
      <w:r>
        <w:rPr>
          <w:bCs/>
          <w:sz w:val="22"/>
          <w:szCs w:val="22"/>
        </w:rPr>
        <w:t>Centrelink’s</w:t>
      </w:r>
      <w:proofErr w:type="spellEnd"/>
      <w:r>
        <w:rPr>
          <w:bCs/>
          <w:sz w:val="22"/>
          <w:szCs w:val="22"/>
        </w:rPr>
        <w:t xml:space="preserve"> services, its administration of benefits or the Social Security rules. </w:t>
      </w:r>
    </w:p>
    <w:p w:rsidR="00212CD5" w:rsidRDefault="00212CD5" w:rsidP="00212CD5">
      <w:pPr>
        <w:pStyle w:val="Default"/>
        <w:jc w:val="both"/>
        <w:rPr>
          <w:bCs/>
          <w:sz w:val="22"/>
          <w:szCs w:val="22"/>
        </w:rPr>
      </w:pPr>
    </w:p>
    <w:p w:rsidR="00212CD5" w:rsidRDefault="00212CD5" w:rsidP="00212CD5">
      <w:pPr>
        <w:pStyle w:val="Default"/>
        <w:jc w:val="both"/>
        <w:rPr>
          <w:bCs/>
          <w:sz w:val="22"/>
          <w:szCs w:val="22"/>
        </w:rPr>
      </w:pPr>
      <w:r>
        <w:rPr>
          <w:bCs/>
          <w:sz w:val="22"/>
          <w:szCs w:val="22"/>
        </w:rPr>
        <w:t>In our 2012-13 Federal Budget submission we urge the Federal Government to provide increased support for financially disadvantaged Australians by expanding access to Welfare Rights assistance to meet the growing and unmet need for this assistance.</w:t>
      </w:r>
    </w:p>
    <w:p w:rsidR="00212CD5" w:rsidRDefault="00212CD5" w:rsidP="00212CD5">
      <w:pPr>
        <w:pStyle w:val="Default"/>
        <w:jc w:val="both"/>
        <w:rPr>
          <w:bCs/>
          <w:sz w:val="22"/>
          <w:szCs w:val="22"/>
        </w:rPr>
      </w:pPr>
    </w:p>
    <w:p w:rsidR="00212CD5" w:rsidRDefault="00212CD5" w:rsidP="00212CD5">
      <w:pPr>
        <w:pStyle w:val="Default"/>
        <w:jc w:val="both"/>
        <w:rPr>
          <w:bCs/>
          <w:sz w:val="22"/>
          <w:szCs w:val="22"/>
        </w:rPr>
      </w:pPr>
      <w:r>
        <w:rPr>
          <w:bCs/>
          <w:sz w:val="22"/>
          <w:szCs w:val="22"/>
        </w:rPr>
        <w:t>This can be done by:</w:t>
      </w:r>
    </w:p>
    <w:p w:rsidR="00212CD5" w:rsidRDefault="00212CD5" w:rsidP="00212CD5">
      <w:pPr>
        <w:pStyle w:val="Default"/>
        <w:jc w:val="both"/>
        <w:rPr>
          <w:bCs/>
          <w:sz w:val="22"/>
          <w:szCs w:val="22"/>
        </w:rPr>
      </w:pPr>
    </w:p>
    <w:p w:rsidR="00212CD5" w:rsidRDefault="00212CD5" w:rsidP="00212CD5">
      <w:pPr>
        <w:pStyle w:val="Default"/>
        <w:numPr>
          <w:ilvl w:val="0"/>
          <w:numId w:val="15"/>
        </w:numPr>
        <w:jc w:val="both"/>
        <w:rPr>
          <w:bCs/>
          <w:sz w:val="22"/>
          <w:szCs w:val="22"/>
        </w:rPr>
      </w:pPr>
      <w:r>
        <w:rPr>
          <w:bCs/>
          <w:sz w:val="22"/>
          <w:szCs w:val="22"/>
        </w:rPr>
        <w:t>as a matter of priority substantially increasing access to Welfare Rights assistance across Australia, especially for people living in regional areas, by providing an extra $3 million a year;</w:t>
      </w:r>
    </w:p>
    <w:p w:rsidR="00212CD5" w:rsidRDefault="00212CD5" w:rsidP="00212CD5">
      <w:pPr>
        <w:pStyle w:val="Default"/>
        <w:numPr>
          <w:ilvl w:val="0"/>
          <w:numId w:val="15"/>
        </w:numPr>
        <w:jc w:val="both"/>
        <w:rPr>
          <w:sz w:val="22"/>
          <w:szCs w:val="22"/>
        </w:rPr>
      </w:pPr>
      <w:r>
        <w:rPr>
          <w:sz w:val="22"/>
          <w:szCs w:val="22"/>
        </w:rPr>
        <w:t xml:space="preserve">providing the </w:t>
      </w:r>
      <w:r>
        <w:rPr>
          <w:bCs/>
          <w:sz w:val="22"/>
          <w:szCs w:val="22"/>
        </w:rPr>
        <w:t xml:space="preserve">National Welfare Rights Network with </w:t>
      </w:r>
      <w:r>
        <w:rPr>
          <w:sz w:val="22"/>
          <w:szCs w:val="22"/>
        </w:rPr>
        <w:t>National Secretariat policy and advice funding of $325,000 per annum; and</w:t>
      </w:r>
    </w:p>
    <w:p w:rsidR="00212CD5" w:rsidRDefault="00212CD5" w:rsidP="00212CD5">
      <w:pPr>
        <w:pStyle w:val="Default"/>
        <w:numPr>
          <w:ilvl w:val="0"/>
          <w:numId w:val="15"/>
        </w:numPr>
        <w:jc w:val="both"/>
        <w:rPr>
          <w:sz w:val="22"/>
          <w:szCs w:val="22"/>
        </w:rPr>
      </w:pPr>
      <w:proofErr w:type="gramStart"/>
      <w:r>
        <w:rPr>
          <w:sz w:val="22"/>
          <w:szCs w:val="22"/>
        </w:rPr>
        <w:t>ensuring</w:t>
      </w:r>
      <w:proofErr w:type="gramEnd"/>
      <w:r>
        <w:rPr>
          <w:sz w:val="22"/>
          <w:szCs w:val="22"/>
        </w:rPr>
        <w:t xml:space="preserve"> the continuity of </w:t>
      </w:r>
      <w:r w:rsidR="00B40515">
        <w:rPr>
          <w:sz w:val="22"/>
          <w:szCs w:val="22"/>
        </w:rPr>
        <w:t>the</w:t>
      </w:r>
      <w:r>
        <w:rPr>
          <w:i/>
          <w:sz w:val="22"/>
          <w:szCs w:val="22"/>
        </w:rPr>
        <w:t xml:space="preserve"> Online Independent Social Security Handbook National Community Access Project</w:t>
      </w:r>
      <w:r>
        <w:rPr>
          <w:sz w:val="22"/>
          <w:szCs w:val="22"/>
        </w:rPr>
        <w:t xml:space="preserve"> developed by the Welfare Rights Centre, Sydney for $75,000 per annum, or $225,000 over 3 years. This represents only part of the total cost of the project.  Subscriptions provide the balance of the cost of the project.</w:t>
      </w:r>
    </w:p>
    <w:p w:rsidR="002E2477" w:rsidRDefault="002E2477" w:rsidP="002E2477">
      <w:pPr>
        <w:pStyle w:val="Default"/>
        <w:jc w:val="both"/>
        <w:rPr>
          <w:sz w:val="22"/>
          <w:szCs w:val="22"/>
        </w:rPr>
      </w:pPr>
    </w:p>
    <w:p w:rsidR="00212CD5" w:rsidRPr="00731CDF" w:rsidRDefault="00212CD5" w:rsidP="00731CDF">
      <w:pPr>
        <w:pStyle w:val="Heading1"/>
      </w:pPr>
      <w:bookmarkStart w:id="3" w:name="_Toc315947177"/>
      <w:proofErr w:type="spellStart"/>
      <w:r w:rsidRPr="00731CDF">
        <w:t>Centreli</w:t>
      </w:r>
      <w:r w:rsidR="002E2477" w:rsidRPr="00731CDF">
        <w:t>nk</w:t>
      </w:r>
      <w:proofErr w:type="spellEnd"/>
      <w:r w:rsidR="002E2477" w:rsidRPr="00731CDF">
        <w:t xml:space="preserve"> – large and complex</w:t>
      </w:r>
      <w:bookmarkEnd w:id="3"/>
    </w:p>
    <w:p w:rsidR="00212CD5" w:rsidRPr="00AF439E" w:rsidRDefault="00212CD5" w:rsidP="00731CDF">
      <w:pPr>
        <w:pStyle w:val="Body"/>
      </w:pPr>
      <w:r w:rsidRPr="00AF439E">
        <w:t xml:space="preserve">Over 7 million Australians or one in three people receive some type of assistance from </w:t>
      </w:r>
      <w:proofErr w:type="spellStart"/>
      <w:r w:rsidRPr="00AF439E">
        <w:t>Centrelink</w:t>
      </w:r>
      <w:proofErr w:type="spellEnd"/>
      <w:r w:rsidRPr="00AF439E">
        <w:t xml:space="preserve">. It provides payments on behalf of more than 20 different Australian Government agencies, with almost $90 billion paid on behalf of </w:t>
      </w:r>
      <w:r w:rsidR="003C45A1" w:rsidRPr="00AF439E">
        <w:t xml:space="preserve">the </w:t>
      </w:r>
      <w:r w:rsidRPr="00AF439E">
        <w:t xml:space="preserve">Australian Government </w:t>
      </w:r>
      <w:r w:rsidR="003C45A1" w:rsidRPr="00AF439E">
        <w:t>in 2010-11</w:t>
      </w:r>
      <w:r w:rsidRPr="00AF439E">
        <w:t xml:space="preserve">. </w:t>
      </w:r>
      <w:r w:rsidR="00AF439E" w:rsidRPr="00AF439E">
        <w:tab/>
      </w:r>
    </w:p>
    <w:p w:rsidR="00AF439E" w:rsidRPr="00AF439E" w:rsidRDefault="002E2477" w:rsidP="00731CDF">
      <w:pPr>
        <w:pStyle w:val="Body"/>
        <w:rPr>
          <w:rFonts w:cstheme="minorHAnsi"/>
        </w:rPr>
      </w:pPr>
      <w:proofErr w:type="spellStart"/>
      <w:r w:rsidRPr="00AF439E">
        <w:rPr>
          <w:rFonts w:cstheme="minorHAnsi"/>
        </w:rPr>
        <w:t>Centrelink</w:t>
      </w:r>
      <w:proofErr w:type="spellEnd"/>
      <w:r w:rsidRPr="00AF439E">
        <w:rPr>
          <w:rFonts w:cstheme="minorHAnsi"/>
        </w:rPr>
        <w:t xml:space="preserve"> does an excellent job processing payments and the staff work hard.  Indeed the </w:t>
      </w:r>
      <w:r w:rsidR="00AF439E" w:rsidRPr="00AF439E">
        <w:rPr>
          <w:rFonts w:cstheme="minorHAnsi"/>
        </w:rPr>
        <w:t xml:space="preserve">report </w:t>
      </w:r>
      <w:r w:rsidR="00AF439E" w:rsidRPr="00AF439E">
        <w:rPr>
          <w:rFonts w:cstheme="minorHAnsi"/>
          <w:i/>
          <w:iCs/>
        </w:rPr>
        <w:t xml:space="preserve">Half </w:t>
      </w:r>
      <w:proofErr w:type="gramStart"/>
      <w:r w:rsidR="00AF439E" w:rsidRPr="00AF439E">
        <w:rPr>
          <w:rFonts w:cstheme="minorHAnsi"/>
          <w:i/>
          <w:iCs/>
        </w:rPr>
        <w:t>A</w:t>
      </w:r>
      <w:proofErr w:type="gramEnd"/>
      <w:r w:rsidR="00AF439E" w:rsidRPr="00AF439E">
        <w:rPr>
          <w:rFonts w:cstheme="minorHAnsi"/>
          <w:i/>
          <w:iCs/>
        </w:rPr>
        <w:t xml:space="preserve"> Citizen: Life on Welfare in Australia</w:t>
      </w:r>
      <w:r w:rsidR="00AF439E" w:rsidRPr="00AF439E">
        <w:rPr>
          <w:rFonts w:cstheme="minorHAnsi"/>
        </w:rPr>
        <w:t xml:space="preserve"> edited by Dr John Murphy (et al), winner of the 2011 Human Rights Award for literature makes it clear that the staff </w:t>
      </w:r>
      <w:r w:rsidR="00AF439E">
        <w:rPr>
          <w:rFonts w:cstheme="minorHAnsi"/>
        </w:rPr>
        <w:t xml:space="preserve">are hard working.  However, that report also illustrates clearly how many people “fall through the cracks”.  In particular, decisions that require the application of discretion are ones that </w:t>
      </w:r>
      <w:proofErr w:type="spellStart"/>
      <w:r w:rsidR="00AF439E">
        <w:rPr>
          <w:rFonts w:cstheme="minorHAnsi"/>
        </w:rPr>
        <w:t>Centrelink</w:t>
      </w:r>
      <w:proofErr w:type="spellEnd"/>
      <w:r w:rsidR="00AF439E">
        <w:rPr>
          <w:rFonts w:cstheme="minorHAnsi"/>
        </w:rPr>
        <w:t xml:space="preserve"> most often gets wrong to the detriment of many individuals and families. </w:t>
      </w:r>
    </w:p>
    <w:p w:rsidR="00212CD5" w:rsidRPr="00AF439E" w:rsidRDefault="00AF439E" w:rsidP="00731CDF">
      <w:pPr>
        <w:pStyle w:val="Body"/>
        <w:rPr>
          <w:rFonts w:cstheme="minorHAnsi"/>
          <w:b/>
        </w:rPr>
      </w:pPr>
      <w:r w:rsidRPr="00AF439E">
        <w:rPr>
          <w:rFonts w:cstheme="minorHAnsi"/>
        </w:rPr>
        <w:t xml:space="preserve">It is not surprising that </w:t>
      </w:r>
      <w:proofErr w:type="spellStart"/>
      <w:r w:rsidR="00212CD5" w:rsidRPr="00AF439E">
        <w:rPr>
          <w:rFonts w:cstheme="minorHAnsi"/>
        </w:rPr>
        <w:t>Centrelink</w:t>
      </w:r>
      <w:proofErr w:type="spellEnd"/>
      <w:r w:rsidR="00212CD5" w:rsidRPr="00AF439E">
        <w:rPr>
          <w:rFonts w:cstheme="minorHAnsi"/>
        </w:rPr>
        <w:t xml:space="preserve"> is the most complained about Government department in Australia according to successive Annual Reports of the Commonwealth Ombudsman.</w:t>
      </w:r>
      <w:r>
        <w:rPr>
          <w:rFonts w:cstheme="minorHAnsi"/>
        </w:rPr>
        <w:t xml:space="preserve">   </w:t>
      </w:r>
      <w:r w:rsidR="00212CD5" w:rsidRPr="00AF439E">
        <w:rPr>
          <w:rFonts w:cstheme="minorHAnsi"/>
        </w:rPr>
        <w:t>In 2010-11 there were over 4,954 complaints</w:t>
      </w:r>
      <w:r w:rsidR="003C45A1" w:rsidRPr="00AF439E">
        <w:rPr>
          <w:rFonts w:cstheme="minorHAnsi"/>
        </w:rPr>
        <w:t xml:space="preserve"> from individuals to the office of the Commonwealth Ombudsman</w:t>
      </w:r>
      <w:r w:rsidR="00212CD5" w:rsidRPr="00AF439E">
        <w:rPr>
          <w:rFonts w:cstheme="minorHAnsi"/>
        </w:rPr>
        <w:t>.</w:t>
      </w:r>
      <w:r w:rsidR="003C45A1" w:rsidRPr="00AF439E">
        <w:rPr>
          <w:rStyle w:val="FootnoteReference"/>
          <w:rFonts w:cstheme="minorHAnsi"/>
        </w:rPr>
        <w:footnoteReference w:id="1"/>
      </w:r>
      <w:r w:rsidR="00212CD5" w:rsidRPr="00AF439E">
        <w:rPr>
          <w:rFonts w:cstheme="minorHAnsi"/>
        </w:rPr>
        <w:t xml:space="preserve"> In the same period, over 195,277 individuals formally sought review through </w:t>
      </w:r>
      <w:proofErr w:type="spellStart"/>
      <w:r w:rsidR="00212CD5" w:rsidRPr="00AF439E">
        <w:rPr>
          <w:rFonts w:cstheme="minorHAnsi"/>
        </w:rPr>
        <w:t>Centrelink’s</w:t>
      </w:r>
      <w:proofErr w:type="spellEnd"/>
      <w:r w:rsidR="00212CD5" w:rsidRPr="00AF439E">
        <w:rPr>
          <w:rFonts w:cstheme="minorHAnsi"/>
        </w:rPr>
        <w:t xml:space="preserve"> internal review mechanisms, an increase of 4.4% on the previous year. In 2010-11, </w:t>
      </w:r>
      <w:r w:rsidR="00212CD5" w:rsidRPr="00AF439E">
        <w:rPr>
          <w:rFonts w:cstheme="minorHAnsi"/>
        </w:rPr>
        <w:lastRenderedPageBreak/>
        <w:t>of appeals to an Authorised Review Officer, approximately 32.5 per cent of decisions were changed.</w:t>
      </w:r>
      <w:r w:rsidR="00212CD5" w:rsidRPr="00AF439E">
        <w:rPr>
          <w:rStyle w:val="FootnoteReference"/>
          <w:rFonts w:cstheme="minorHAnsi"/>
        </w:rPr>
        <w:footnoteReference w:id="2"/>
      </w:r>
    </w:p>
    <w:p w:rsidR="00212CD5" w:rsidRPr="00731CDF" w:rsidRDefault="00212CD5" w:rsidP="00FB1771">
      <w:pPr>
        <w:pStyle w:val="Body"/>
        <w:rPr>
          <w:rFonts w:cstheme="minorHAnsi"/>
        </w:rPr>
      </w:pPr>
      <w:r w:rsidRPr="00AF439E">
        <w:rPr>
          <w:rFonts w:cstheme="minorHAnsi"/>
        </w:rPr>
        <w:t>Table 1 below, which lists review activities from the 2010-11Centrelink Annual Report, highlights the number of reviews undertaken.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3679"/>
      </w:tblGrid>
      <w:tr w:rsidR="00731CDF" w:rsidRPr="00731CDF" w:rsidTr="00731CDF">
        <w:tc>
          <w:tcPr>
            <w:tcW w:w="4968" w:type="dxa"/>
            <w:tcBorders>
              <w:top w:val="single" w:sz="4" w:space="0" w:color="auto"/>
              <w:left w:val="single" w:sz="4" w:space="0" w:color="auto"/>
              <w:bottom w:val="single" w:sz="4" w:space="0" w:color="auto"/>
              <w:right w:val="single" w:sz="4" w:space="0" w:color="auto"/>
            </w:tcBorders>
            <w:shd w:val="clear" w:color="auto" w:fill="4A442A" w:themeFill="background2" w:themeFillShade="40"/>
          </w:tcPr>
          <w:p w:rsidR="00212CD5" w:rsidRPr="00731CDF" w:rsidRDefault="003C45A1">
            <w:pPr>
              <w:rPr>
                <w:rFonts w:asciiTheme="minorHAnsi" w:hAnsiTheme="minorHAnsi" w:cstheme="minorHAnsi"/>
                <w:b/>
                <w:color w:val="FFFFFF" w:themeColor="background1"/>
                <w:sz w:val="22"/>
              </w:rPr>
            </w:pPr>
            <w:r w:rsidRPr="00731CDF">
              <w:rPr>
                <w:rFonts w:asciiTheme="minorHAnsi" w:hAnsiTheme="minorHAnsi" w:cstheme="minorHAnsi"/>
                <w:b/>
                <w:color w:val="FFFFFF" w:themeColor="background1"/>
                <w:sz w:val="22"/>
              </w:rPr>
              <w:t xml:space="preserve">Type of </w:t>
            </w:r>
            <w:proofErr w:type="spellStart"/>
            <w:r w:rsidRPr="00731CDF">
              <w:rPr>
                <w:rFonts w:asciiTheme="minorHAnsi" w:hAnsiTheme="minorHAnsi" w:cstheme="minorHAnsi"/>
                <w:b/>
                <w:color w:val="FFFFFF" w:themeColor="background1"/>
                <w:sz w:val="22"/>
              </w:rPr>
              <w:t>Centrelink</w:t>
            </w:r>
            <w:proofErr w:type="spellEnd"/>
            <w:r w:rsidR="00212CD5" w:rsidRPr="00731CDF">
              <w:rPr>
                <w:rFonts w:asciiTheme="minorHAnsi" w:hAnsiTheme="minorHAnsi" w:cstheme="minorHAnsi"/>
                <w:b/>
                <w:color w:val="FFFFFF" w:themeColor="background1"/>
                <w:sz w:val="22"/>
              </w:rPr>
              <w:t xml:space="preserve"> </w:t>
            </w:r>
            <w:r w:rsidRPr="00731CDF">
              <w:rPr>
                <w:rFonts w:asciiTheme="minorHAnsi" w:hAnsiTheme="minorHAnsi" w:cstheme="minorHAnsi"/>
                <w:b/>
                <w:color w:val="FFFFFF" w:themeColor="background1"/>
                <w:sz w:val="22"/>
              </w:rPr>
              <w:t>Reviews</w:t>
            </w:r>
          </w:p>
        </w:tc>
        <w:tc>
          <w:tcPr>
            <w:tcW w:w="3679" w:type="dxa"/>
            <w:tcBorders>
              <w:top w:val="single" w:sz="4" w:space="0" w:color="auto"/>
              <w:left w:val="single" w:sz="4" w:space="0" w:color="auto"/>
              <w:bottom w:val="single" w:sz="4" w:space="0" w:color="auto"/>
              <w:right w:val="single" w:sz="4" w:space="0" w:color="auto"/>
            </w:tcBorders>
            <w:shd w:val="clear" w:color="auto" w:fill="4A442A" w:themeFill="background2" w:themeFillShade="40"/>
          </w:tcPr>
          <w:p w:rsidR="00212CD5" w:rsidRPr="00731CDF" w:rsidRDefault="003C45A1">
            <w:pPr>
              <w:rPr>
                <w:rFonts w:asciiTheme="minorHAnsi" w:hAnsiTheme="minorHAnsi" w:cstheme="minorHAnsi"/>
                <w:b/>
                <w:color w:val="FFFFFF" w:themeColor="background1"/>
                <w:sz w:val="22"/>
              </w:rPr>
            </w:pPr>
            <w:r w:rsidRPr="00731CDF">
              <w:rPr>
                <w:rFonts w:asciiTheme="minorHAnsi" w:hAnsiTheme="minorHAnsi" w:cstheme="minorHAnsi"/>
                <w:b/>
                <w:color w:val="FFFFFF" w:themeColor="background1"/>
                <w:sz w:val="22"/>
              </w:rPr>
              <w:t>No. of complaints</w:t>
            </w:r>
          </w:p>
        </w:tc>
      </w:tr>
      <w:tr w:rsidR="00212CD5" w:rsidRPr="007C1C7E" w:rsidTr="00731CDF">
        <w:tc>
          <w:tcPr>
            <w:tcW w:w="4968" w:type="dxa"/>
            <w:tcBorders>
              <w:top w:val="single" w:sz="4" w:space="0" w:color="auto"/>
              <w:left w:val="single" w:sz="4" w:space="0" w:color="auto"/>
              <w:bottom w:val="single" w:sz="4" w:space="0" w:color="auto"/>
              <w:right w:val="single" w:sz="4" w:space="0" w:color="auto"/>
            </w:tcBorders>
          </w:tcPr>
          <w:p w:rsidR="00212CD5" w:rsidRPr="007C1C7E" w:rsidRDefault="00212CD5">
            <w:pPr>
              <w:rPr>
                <w:rFonts w:asciiTheme="minorHAnsi" w:hAnsiTheme="minorHAnsi" w:cstheme="minorHAnsi"/>
                <w:sz w:val="22"/>
              </w:rPr>
            </w:pPr>
            <w:r w:rsidRPr="007C1C7E">
              <w:rPr>
                <w:rFonts w:asciiTheme="minorHAnsi" w:hAnsiTheme="minorHAnsi" w:cstheme="minorHAnsi"/>
                <w:sz w:val="22"/>
              </w:rPr>
              <w:t>Internal Reviews</w:t>
            </w:r>
          </w:p>
        </w:tc>
        <w:tc>
          <w:tcPr>
            <w:tcW w:w="3679" w:type="dxa"/>
            <w:tcBorders>
              <w:top w:val="single" w:sz="4" w:space="0" w:color="auto"/>
              <w:left w:val="single" w:sz="4" w:space="0" w:color="auto"/>
              <w:bottom w:val="single" w:sz="4" w:space="0" w:color="auto"/>
              <w:right w:val="single" w:sz="4" w:space="0" w:color="auto"/>
            </w:tcBorders>
          </w:tcPr>
          <w:p w:rsidR="00212CD5" w:rsidRPr="007C1C7E" w:rsidRDefault="00212CD5" w:rsidP="003C45A1">
            <w:pPr>
              <w:jc w:val="center"/>
              <w:rPr>
                <w:rFonts w:asciiTheme="minorHAnsi" w:hAnsiTheme="minorHAnsi" w:cstheme="minorHAnsi"/>
                <w:sz w:val="22"/>
              </w:rPr>
            </w:pPr>
            <w:r w:rsidRPr="007C1C7E">
              <w:rPr>
                <w:rFonts w:asciiTheme="minorHAnsi" w:hAnsiTheme="minorHAnsi" w:cstheme="minorHAnsi"/>
                <w:sz w:val="22"/>
              </w:rPr>
              <w:t>195,277</w:t>
            </w:r>
          </w:p>
        </w:tc>
      </w:tr>
      <w:tr w:rsidR="00212CD5" w:rsidRPr="007C1C7E" w:rsidTr="00731CDF">
        <w:tc>
          <w:tcPr>
            <w:tcW w:w="4968" w:type="dxa"/>
            <w:tcBorders>
              <w:top w:val="single" w:sz="4" w:space="0" w:color="auto"/>
              <w:left w:val="single" w:sz="4" w:space="0" w:color="auto"/>
              <w:bottom w:val="single" w:sz="4" w:space="0" w:color="auto"/>
              <w:right w:val="single" w:sz="4" w:space="0" w:color="auto"/>
            </w:tcBorders>
          </w:tcPr>
          <w:p w:rsidR="00212CD5" w:rsidRPr="007C1C7E" w:rsidRDefault="003C45A1">
            <w:pPr>
              <w:rPr>
                <w:rFonts w:asciiTheme="minorHAnsi" w:hAnsiTheme="minorHAnsi" w:cstheme="minorHAnsi"/>
                <w:sz w:val="22"/>
              </w:rPr>
            </w:pPr>
            <w:r w:rsidRPr="007C1C7E">
              <w:rPr>
                <w:rFonts w:asciiTheme="minorHAnsi" w:hAnsiTheme="minorHAnsi" w:cstheme="minorHAnsi"/>
                <w:sz w:val="22"/>
              </w:rPr>
              <w:t>Social Security Appeals Tribunal</w:t>
            </w:r>
          </w:p>
        </w:tc>
        <w:tc>
          <w:tcPr>
            <w:tcW w:w="3679" w:type="dxa"/>
            <w:tcBorders>
              <w:top w:val="single" w:sz="4" w:space="0" w:color="auto"/>
              <w:left w:val="single" w:sz="4" w:space="0" w:color="auto"/>
              <w:bottom w:val="single" w:sz="4" w:space="0" w:color="auto"/>
              <w:right w:val="single" w:sz="4" w:space="0" w:color="auto"/>
            </w:tcBorders>
          </w:tcPr>
          <w:p w:rsidR="00212CD5" w:rsidRPr="007C1C7E" w:rsidRDefault="00212CD5" w:rsidP="003C45A1">
            <w:pPr>
              <w:jc w:val="center"/>
              <w:rPr>
                <w:rFonts w:asciiTheme="minorHAnsi" w:hAnsiTheme="minorHAnsi" w:cstheme="minorHAnsi"/>
                <w:sz w:val="22"/>
              </w:rPr>
            </w:pPr>
            <w:r w:rsidRPr="007C1C7E">
              <w:rPr>
                <w:rFonts w:asciiTheme="minorHAnsi" w:hAnsiTheme="minorHAnsi" w:cstheme="minorHAnsi"/>
                <w:sz w:val="22"/>
              </w:rPr>
              <w:t>11,087</w:t>
            </w:r>
          </w:p>
        </w:tc>
      </w:tr>
      <w:tr w:rsidR="00212CD5" w:rsidRPr="007C1C7E" w:rsidTr="00731CDF">
        <w:tc>
          <w:tcPr>
            <w:tcW w:w="4968" w:type="dxa"/>
            <w:tcBorders>
              <w:top w:val="single" w:sz="4" w:space="0" w:color="auto"/>
              <w:left w:val="single" w:sz="4" w:space="0" w:color="auto"/>
              <w:bottom w:val="single" w:sz="4" w:space="0" w:color="auto"/>
              <w:right w:val="single" w:sz="4" w:space="0" w:color="auto"/>
            </w:tcBorders>
          </w:tcPr>
          <w:p w:rsidR="00212CD5" w:rsidRPr="007C1C7E" w:rsidRDefault="003C45A1">
            <w:pPr>
              <w:rPr>
                <w:rFonts w:asciiTheme="minorHAnsi" w:hAnsiTheme="minorHAnsi" w:cstheme="minorHAnsi"/>
                <w:sz w:val="22"/>
              </w:rPr>
            </w:pPr>
            <w:r w:rsidRPr="007C1C7E">
              <w:rPr>
                <w:rFonts w:asciiTheme="minorHAnsi" w:hAnsiTheme="minorHAnsi" w:cstheme="minorHAnsi"/>
                <w:sz w:val="22"/>
              </w:rPr>
              <w:t>Administrative Appeals Tribunal</w:t>
            </w:r>
            <w:r w:rsidR="00212CD5" w:rsidRPr="007C1C7E">
              <w:rPr>
                <w:rFonts w:asciiTheme="minorHAnsi" w:hAnsiTheme="minorHAnsi" w:cstheme="minorHAnsi"/>
                <w:sz w:val="22"/>
              </w:rPr>
              <w:t xml:space="preserve"> - client</w:t>
            </w:r>
          </w:p>
        </w:tc>
        <w:tc>
          <w:tcPr>
            <w:tcW w:w="3679" w:type="dxa"/>
            <w:tcBorders>
              <w:top w:val="single" w:sz="4" w:space="0" w:color="auto"/>
              <w:left w:val="single" w:sz="4" w:space="0" w:color="auto"/>
              <w:bottom w:val="single" w:sz="4" w:space="0" w:color="auto"/>
              <w:right w:val="single" w:sz="4" w:space="0" w:color="auto"/>
            </w:tcBorders>
          </w:tcPr>
          <w:p w:rsidR="00212CD5" w:rsidRPr="007C1C7E" w:rsidRDefault="00212CD5" w:rsidP="003C45A1">
            <w:pPr>
              <w:jc w:val="center"/>
              <w:rPr>
                <w:rFonts w:asciiTheme="minorHAnsi" w:hAnsiTheme="minorHAnsi" w:cstheme="minorHAnsi"/>
                <w:sz w:val="22"/>
              </w:rPr>
            </w:pPr>
            <w:r w:rsidRPr="007C1C7E">
              <w:rPr>
                <w:rFonts w:asciiTheme="minorHAnsi" w:hAnsiTheme="minorHAnsi" w:cstheme="minorHAnsi"/>
                <w:sz w:val="22"/>
              </w:rPr>
              <w:t>1,975</w:t>
            </w:r>
          </w:p>
        </w:tc>
      </w:tr>
      <w:tr w:rsidR="00212CD5" w:rsidRPr="007C1C7E" w:rsidTr="00731CDF">
        <w:tc>
          <w:tcPr>
            <w:tcW w:w="4968" w:type="dxa"/>
            <w:tcBorders>
              <w:top w:val="single" w:sz="4" w:space="0" w:color="auto"/>
              <w:left w:val="single" w:sz="4" w:space="0" w:color="auto"/>
              <w:bottom w:val="single" w:sz="4" w:space="0" w:color="auto"/>
              <w:right w:val="single" w:sz="4" w:space="0" w:color="auto"/>
            </w:tcBorders>
          </w:tcPr>
          <w:p w:rsidR="00212CD5" w:rsidRPr="007C1C7E" w:rsidRDefault="003C45A1">
            <w:pPr>
              <w:rPr>
                <w:rFonts w:asciiTheme="minorHAnsi" w:hAnsiTheme="minorHAnsi" w:cstheme="minorHAnsi"/>
                <w:sz w:val="22"/>
              </w:rPr>
            </w:pPr>
            <w:r w:rsidRPr="007C1C7E">
              <w:rPr>
                <w:rFonts w:asciiTheme="minorHAnsi" w:hAnsiTheme="minorHAnsi" w:cstheme="minorHAnsi"/>
                <w:sz w:val="22"/>
              </w:rPr>
              <w:t xml:space="preserve">Administrative Appeals Tribunal </w:t>
            </w:r>
            <w:r w:rsidR="00212CD5" w:rsidRPr="007C1C7E">
              <w:rPr>
                <w:rFonts w:asciiTheme="minorHAnsi" w:hAnsiTheme="minorHAnsi" w:cstheme="minorHAnsi"/>
                <w:sz w:val="22"/>
              </w:rPr>
              <w:t>- secretary</w:t>
            </w:r>
          </w:p>
        </w:tc>
        <w:tc>
          <w:tcPr>
            <w:tcW w:w="3679" w:type="dxa"/>
            <w:tcBorders>
              <w:top w:val="single" w:sz="4" w:space="0" w:color="auto"/>
              <w:left w:val="single" w:sz="4" w:space="0" w:color="auto"/>
              <w:bottom w:val="single" w:sz="4" w:space="0" w:color="auto"/>
              <w:right w:val="single" w:sz="4" w:space="0" w:color="auto"/>
            </w:tcBorders>
          </w:tcPr>
          <w:p w:rsidR="00212CD5" w:rsidRPr="007C1C7E" w:rsidRDefault="00212CD5" w:rsidP="003C45A1">
            <w:pPr>
              <w:jc w:val="center"/>
              <w:rPr>
                <w:rFonts w:asciiTheme="minorHAnsi" w:hAnsiTheme="minorHAnsi" w:cstheme="minorHAnsi"/>
                <w:sz w:val="22"/>
              </w:rPr>
            </w:pPr>
            <w:r w:rsidRPr="007C1C7E">
              <w:rPr>
                <w:rFonts w:asciiTheme="minorHAnsi" w:hAnsiTheme="minorHAnsi" w:cstheme="minorHAnsi"/>
                <w:sz w:val="22"/>
              </w:rPr>
              <w:t>33</w:t>
            </w:r>
          </w:p>
        </w:tc>
      </w:tr>
    </w:tbl>
    <w:p w:rsidR="00212CD5" w:rsidRPr="00731CDF" w:rsidRDefault="00212CD5" w:rsidP="00731CDF">
      <w:pPr>
        <w:pStyle w:val="Heading3"/>
      </w:pPr>
      <w:r w:rsidRPr="007C1C7E">
        <w:t>Table 1: Review activity in 2010-11</w:t>
      </w:r>
    </w:p>
    <w:p w:rsidR="00C30B19" w:rsidRDefault="00212CD5" w:rsidP="00FB1771">
      <w:pPr>
        <w:pStyle w:val="Body"/>
      </w:pPr>
      <w:proofErr w:type="spellStart"/>
      <w:r w:rsidRPr="001219A8">
        <w:t>Centrelink</w:t>
      </w:r>
      <w:proofErr w:type="spellEnd"/>
      <w:r w:rsidRPr="001219A8">
        <w:t xml:space="preserve"> records </w:t>
      </w:r>
      <w:r w:rsidR="001219A8" w:rsidRPr="001219A8">
        <w:t xml:space="preserve">indicate that </w:t>
      </w:r>
      <w:r w:rsidR="001219A8">
        <w:t xml:space="preserve">in </w:t>
      </w:r>
      <w:r w:rsidR="001219A8" w:rsidRPr="001219A8">
        <w:t>2010-11 there were</w:t>
      </w:r>
      <w:r w:rsidRPr="001219A8">
        <w:t xml:space="preserve"> </w:t>
      </w:r>
      <w:r w:rsidR="001219A8" w:rsidRPr="00EE403A">
        <w:t>46,818</w:t>
      </w:r>
      <w:r w:rsidRPr="001219A8">
        <w:t xml:space="preserve"> </w:t>
      </w:r>
      <w:r w:rsidR="001219A8">
        <w:t xml:space="preserve">individual </w:t>
      </w:r>
      <w:r w:rsidRPr="001219A8">
        <w:t xml:space="preserve">complaints </w:t>
      </w:r>
      <w:r w:rsidR="001219A8">
        <w:t xml:space="preserve">about </w:t>
      </w:r>
      <w:proofErr w:type="spellStart"/>
      <w:r w:rsidR="001219A8">
        <w:t>Centrelink</w:t>
      </w:r>
      <w:proofErr w:type="spellEnd"/>
      <w:r w:rsidRPr="001219A8">
        <w:t xml:space="preserve"> </w:t>
      </w:r>
      <w:r w:rsidR="001219A8" w:rsidRPr="001219A8">
        <w:t>from a range of feedback mechanisms</w:t>
      </w:r>
      <w:r w:rsidRPr="001219A8">
        <w:t xml:space="preserve">. </w:t>
      </w:r>
      <w:r w:rsidR="001219A8">
        <w:t xml:space="preserve">The </w:t>
      </w:r>
      <w:proofErr w:type="spellStart"/>
      <w:r w:rsidR="001219A8">
        <w:t>Centrelink</w:t>
      </w:r>
      <w:proofErr w:type="spellEnd"/>
      <w:r w:rsidR="001219A8">
        <w:t xml:space="preserve"> Annual Report provides the most detailed analysis of complaints publicly available in an analysis of 10,016 complaints</w:t>
      </w:r>
      <w:r w:rsidR="00505DF3">
        <w:t>.</w:t>
      </w:r>
      <w:r w:rsidR="00505DF3">
        <w:rPr>
          <w:rStyle w:val="FootnoteReference"/>
          <w:rFonts w:ascii="Calibri" w:hAnsi="Calibri" w:cs="Calibri"/>
        </w:rPr>
        <w:footnoteReference w:id="3"/>
      </w:r>
      <w:r w:rsidR="00505DF3">
        <w:t xml:space="preserve"> The top five complaint categories by number of complainants were: </w:t>
      </w:r>
    </w:p>
    <w:p w:rsidR="00731CDF" w:rsidRDefault="00505DF3" w:rsidP="00731CDF">
      <w:pPr>
        <w:pStyle w:val="Body"/>
        <w:numPr>
          <w:ilvl w:val="0"/>
          <w:numId w:val="26"/>
        </w:numPr>
        <w:spacing w:after="0"/>
      </w:pPr>
      <w:r w:rsidRPr="00731CDF">
        <w:t>staff knowledge and practice (24</w:t>
      </w:r>
      <w:r w:rsidR="00212CD5" w:rsidRPr="00731CDF">
        <w:t xml:space="preserve"> per cent); </w:t>
      </w:r>
    </w:p>
    <w:p w:rsidR="00EE403A" w:rsidRPr="00731CDF" w:rsidRDefault="00EE403A" w:rsidP="00731CDF">
      <w:pPr>
        <w:pStyle w:val="Body"/>
        <w:numPr>
          <w:ilvl w:val="0"/>
          <w:numId w:val="26"/>
        </w:numPr>
        <w:spacing w:after="0"/>
      </w:pPr>
      <w:r w:rsidRPr="00731CDF">
        <w:t>problems with calls, including wait times and disconnections (18 per cent);</w:t>
      </w:r>
    </w:p>
    <w:p w:rsidR="00EE403A" w:rsidRPr="00731CDF" w:rsidRDefault="00EE403A" w:rsidP="00731CDF">
      <w:pPr>
        <w:pStyle w:val="Body"/>
        <w:numPr>
          <w:ilvl w:val="0"/>
          <w:numId w:val="26"/>
        </w:numPr>
        <w:spacing w:after="0"/>
      </w:pPr>
      <w:r w:rsidRPr="00731CDF">
        <w:t>employees attitude (11 per cent);</w:t>
      </w:r>
    </w:p>
    <w:p w:rsidR="00EE403A" w:rsidRPr="00731CDF" w:rsidRDefault="00EE403A" w:rsidP="00731CDF">
      <w:pPr>
        <w:pStyle w:val="Body"/>
        <w:numPr>
          <w:ilvl w:val="0"/>
          <w:numId w:val="26"/>
        </w:numPr>
        <w:spacing w:after="0"/>
      </w:pPr>
      <w:r w:rsidRPr="00731CDF">
        <w:t>decision making (11 per cent); and</w:t>
      </w:r>
    </w:p>
    <w:p w:rsidR="00212CD5" w:rsidRDefault="00EE403A" w:rsidP="00E27920">
      <w:pPr>
        <w:pStyle w:val="Body"/>
        <w:numPr>
          <w:ilvl w:val="0"/>
          <w:numId w:val="26"/>
        </w:numPr>
        <w:spacing w:after="0"/>
        <w:jc w:val="left"/>
      </w:pPr>
      <w:proofErr w:type="gramStart"/>
      <w:r w:rsidRPr="00731CDF">
        <w:t>disagreement</w:t>
      </w:r>
      <w:proofErr w:type="gramEnd"/>
      <w:r w:rsidRPr="00731CDF">
        <w:t xml:space="preserve"> over a policy matter (6 per cent)</w:t>
      </w:r>
      <w:r w:rsidR="00212CD5" w:rsidRPr="00731CDF">
        <w:t>.</w:t>
      </w:r>
      <w:r w:rsidR="00E27920">
        <w:br/>
      </w:r>
    </w:p>
    <w:p w:rsidR="00D06CCE" w:rsidRDefault="00EE403A" w:rsidP="00FB1771">
      <w:pPr>
        <w:pStyle w:val="Body"/>
      </w:pPr>
      <w:r>
        <w:t xml:space="preserve">In 2010-11 </w:t>
      </w:r>
      <w:proofErr w:type="spellStart"/>
      <w:r>
        <w:t>Centrelink</w:t>
      </w:r>
      <w:proofErr w:type="spellEnd"/>
      <w:r>
        <w:t xml:space="preserve"> undertook a specific survey of those who had lodged a complaint about </w:t>
      </w:r>
      <w:proofErr w:type="spellStart"/>
      <w:r>
        <w:t>Centrelink</w:t>
      </w:r>
      <w:proofErr w:type="spellEnd"/>
      <w:r w:rsidR="00D06CCE">
        <w:t xml:space="preserve">. The </w:t>
      </w:r>
      <w:r w:rsidR="00D06CCE" w:rsidRPr="00560AE7">
        <w:rPr>
          <w:i/>
        </w:rPr>
        <w:t>Post Complaints Survey</w:t>
      </w:r>
      <w:r w:rsidR="00C30B19">
        <w:t xml:space="preserve"> found </w:t>
      </w:r>
      <w:r w:rsidR="00D06CCE">
        <w:t>that barely half of those surveyed – 51 per cent – were satisfied with the way their complaint was handled</w:t>
      </w:r>
      <w:r w:rsidR="00560AE7">
        <w:t xml:space="preserve"> by </w:t>
      </w:r>
      <w:proofErr w:type="spellStart"/>
      <w:r w:rsidR="00560AE7">
        <w:t>Centrelink</w:t>
      </w:r>
      <w:proofErr w:type="spellEnd"/>
      <w:r w:rsidR="00D06CCE">
        <w:t>.</w:t>
      </w:r>
      <w:r w:rsidR="00D06CCE">
        <w:rPr>
          <w:rStyle w:val="FootnoteReference"/>
          <w:rFonts w:ascii="Calibri" w:hAnsi="Calibri" w:cs="Calibri"/>
        </w:rPr>
        <w:footnoteReference w:id="4"/>
      </w:r>
    </w:p>
    <w:p w:rsidR="00212CD5" w:rsidRDefault="00212CD5" w:rsidP="00FB1771">
      <w:pPr>
        <w:pStyle w:val="Body"/>
      </w:pPr>
      <w:r>
        <w:t xml:space="preserve">Significant numbers of </w:t>
      </w:r>
      <w:proofErr w:type="spellStart"/>
      <w:r>
        <w:t>Centrelink</w:t>
      </w:r>
      <w:proofErr w:type="spellEnd"/>
      <w:r>
        <w:t xml:space="preserve"> clients also complain to the Social Security Appeals Tribunal (SSAT), an independent body that investigates the </w:t>
      </w:r>
      <w:proofErr w:type="spellStart"/>
      <w:r>
        <w:t>Centrelink</w:t>
      </w:r>
      <w:proofErr w:type="spellEnd"/>
      <w:r>
        <w:t xml:space="preserve"> decision. In 2010-11 there were 11,087 reviews at the SSAT.</w:t>
      </w:r>
      <w:r w:rsidR="003C45A1">
        <w:rPr>
          <w:rStyle w:val="FootnoteReference"/>
          <w:rFonts w:ascii="Calibri" w:hAnsi="Calibri" w:cs="Calibri"/>
        </w:rPr>
        <w:footnoteReference w:id="5"/>
      </w:r>
      <w:r>
        <w:t xml:space="preserve"> </w:t>
      </w:r>
      <w:r w:rsidR="00966FA0">
        <w:t>Over</w:t>
      </w:r>
      <w:r>
        <w:t xml:space="preserve"> three in every 10 decisions</w:t>
      </w:r>
      <w:r w:rsidR="006C4C97">
        <w:t xml:space="preserve"> (32.5%)</w:t>
      </w:r>
      <w:r>
        <w:t xml:space="preserve"> are overturned when independently examined by the SSAT.</w:t>
      </w:r>
    </w:p>
    <w:p w:rsidR="006C4C97" w:rsidRPr="007C1C7E" w:rsidRDefault="006C4C97" w:rsidP="00FB1771">
      <w:pPr>
        <w:pStyle w:val="Body"/>
      </w:pPr>
      <w:r w:rsidRPr="007C1C7E">
        <w:t xml:space="preserve">Ninety per cent of all </w:t>
      </w:r>
      <w:proofErr w:type="spellStart"/>
      <w:r w:rsidRPr="007C1C7E">
        <w:t>Centrelink</w:t>
      </w:r>
      <w:proofErr w:type="spellEnd"/>
      <w:r w:rsidRPr="007C1C7E">
        <w:t xml:space="preserve"> decisions changed by this independent tribunal were overturned because the agency got its facts wrong or did not properly understand the legislation. Every year the SSAT Annual Report exposes the poor quality of </w:t>
      </w:r>
      <w:proofErr w:type="spellStart"/>
      <w:r w:rsidRPr="007C1C7E">
        <w:t>Centrelink’s</w:t>
      </w:r>
      <w:proofErr w:type="spellEnd"/>
      <w:r w:rsidRPr="007C1C7E">
        <w:t xml:space="preserve"> decision making and its failure to provide clear and legally sound explanations for its decisions.  It is deeply frustrating that this situation is not improving.</w:t>
      </w:r>
    </w:p>
    <w:p w:rsidR="00212CD5" w:rsidRPr="007C1C7E" w:rsidRDefault="00212CD5" w:rsidP="00FB1771">
      <w:pPr>
        <w:pStyle w:val="Body"/>
      </w:pPr>
      <w:r w:rsidRPr="007C1C7E">
        <w:t>Unfortunately, too many people experience problems with the Social Security system and when problems arise there are major consequences for society and significant implications for individuals’ financial and emotional wellbeing.</w:t>
      </w:r>
    </w:p>
    <w:p w:rsidR="00966FA0" w:rsidRDefault="00966FA0" w:rsidP="00FB1771">
      <w:pPr>
        <w:pStyle w:val="Body"/>
      </w:pPr>
      <w:r w:rsidRPr="007C1C7E">
        <w:lastRenderedPageBreak/>
        <w:t xml:space="preserve">When difficulties with </w:t>
      </w:r>
      <w:proofErr w:type="spellStart"/>
      <w:r w:rsidRPr="007C1C7E">
        <w:t>Centrelink</w:t>
      </w:r>
      <w:proofErr w:type="spellEnd"/>
      <w:r w:rsidRPr="007C1C7E">
        <w:t xml:space="preserve"> arise NWRN </w:t>
      </w:r>
      <w:r w:rsidR="00C30B19" w:rsidRPr="007C1C7E">
        <w:t xml:space="preserve">Member Services </w:t>
      </w:r>
      <w:r w:rsidRPr="007C1C7E">
        <w:t>can assist by providing casework advice and assistance to individuals to ensure they can exercise their rights, fulfil their obligations, meet their responsibilities and maximise their entitlements under the Australian Social Security system.</w:t>
      </w:r>
    </w:p>
    <w:p w:rsidR="007024DD" w:rsidRPr="00AB023A" w:rsidRDefault="007024DD" w:rsidP="00DE1A11">
      <w:pPr>
        <w:pStyle w:val="Heading3"/>
        <w:pBdr>
          <w:top w:val="single" w:sz="4" w:space="1" w:color="auto"/>
          <w:left w:val="single" w:sz="4" w:space="1" w:color="auto"/>
          <w:bottom w:val="single" w:sz="4" w:space="1" w:color="auto"/>
          <w:right w:val="single" w:sz="4" w:space="1" w:color="auto"/>
        </w:pBdr>
        <w:shd w:val="clear" w:color="auto" w:fill="4A442A" w:themeFill="background2" w:themeFillShade="40"/>
        <w:ind w:left="720"/>
        <w:jc w:val="center"/>
        <w:rPr>
          <w:color w:val="FFFFFF" w:themeColor="background1"/>
        </w:rPr>
      </w:pPr>
      <w:r w:rsidRPr="00AB023A">
        <w:rPr>
          <w:color w:val="FFFFFF" w:themeColor="background1"/>
        </w:rPr>
        <w:t>Case study to illustrate the need for expansion of Welfare Rights Programs</w:t>
      </w:r>
    </w:p>
    <w:p w:rsidR="007024DD" w:rsidRPr="00AB023A" w:rsidRDefault="007024DD" w:rsidP="00DE1A11">
      <w:pPr>
        <w:pStyle w:val="Heading3"/>
        <w:pBdr>
          <w:top w:val="single" w:sz="4" w:space="1" w:color="auto"/>
          <w:left w:val="single" w:sz="4" w:space="1" w:color="auto"/>
          <w:bottom w:val="single" w:sz="4" w:space="1" w:color="auto"/>
          <w:right w:val="single" w:sz="4" w:space="1" w:color="auto"/>
        </w:pBdr>
        <w:shd w:val="clear" w:color="auto" w:fill="4A442A" w:themeFill="background2" w:themeFillShade="40"/>
        <w:ind w:left="720"/>
        <w:jc w:val="center"/>
        <w:rPr>
          <w:rFonts w:cs="Arial"/>
          <w:color w:val="FFFFFF" w:themeColor="background1"/>
          <w:szCs w:val="28"/>
        </w:rPr>
      </w:pPr>
      <w:r w:rsidRPr="00AB023A">
        <w:rPr>
          <w:color w:val="FFFFFF" w:themeColor="background1"/>
        </w:rPr>
        <w:t>Compensation preclusion period reduced</w:t>
      </w:r>
    </w:p>
    <w:p w:rsidR="007024DD" w:rsidRPr="002E2477" w:rsidRDefault="007024DD" w:rsidP="007024DD">
      <w:pPr>
        <w:pStyle w:val="Body"/>
        <w:pBdr>
          <w:top w:val="single" w:sz="4" w:space="1" w:color="auto"/>
          <w:left w:val="single" w:sz="4" w:space="1" w:color="auto"/>
          <w:bottom w:val="single" w:sz="4" w:space="1" w:color="auto"/>
          <w:right w:val="single" w:sz="4" w:space="1" w:color="auto"/>
        </w:pBdr>
        <w:ind w:left="720"/>
      </w:pPr>
      <w:r w:rsidRPr="002E2477">
        <w:t>Sandy received workers compensation after being victimised at work.   This victimisation included being locked in a freezer and being constantly denigrated by her boss.  As a result of this treatment Sandy received a lump sum compensation payment.  However it had come at a heavy price, with her mental health taking a severe battering.  She ended up with depression, anxiety and post-traumatic stress syndrome.  She spent six weeks in a mental health hospital.  She could not function properly and stopped socialising. She wasn’t thinking clearly or rationally.  Clearly Sandy was not in a good frame of mind when she received the lump sum compensation payment.</w:t>
      </w:r>
    </w:p>
    <w:p w:rsidR="007024DD" w:rsidRPr="002E2477" w:rsidRDefault="007024DD" w:rsidP="007024DD">
      <w:pPr>
        <w:pStyle w:val="Body"/>
        <w:pBdr>
          <w:top w:val="single" w:sz="4" w:space="1" w:color="auto"/>
          <w:left w:val="single" w:sz="4" w:space="1" w:color="auto"/>
          <w:bottom w:val="single" w:sz="4" w:space="1" w:color="auto"/>
          <w:right w:val="single" w:sz="4" w:space="1" w:color="auto"/>
        </w:pBdr>
        <w:ind w:left="720"/>
      </w:pPr>
      <w:r w:rsidRPr="002E2477">
        <w:t xml:space="preserve">The money did not last long.  Her illnesses had made her thoughts irrational.  Despite knowing that she was subject to a preclusion period for just under two years she spent the compensation money very quickly, as a result of a gambling addiction and irrational spending habits. The one sensible decision Sandy had made was to pay her rent until the end of the preclusion period as she knew if she did not she would become homeless. </w:t>
      </w:r>
    </w:p>
    <w:p w:rsidR="007024DD" w:rsidRPr="002E2477" w:rsidRDefault="007024DD" w:rsidP="007024DD">
      <w:pPr>
        <w:pStyle w:val="Body"/>
        <w:pBdr>
          <w:top w:val="single" w:sz="4" w:space="1" w:color="auto"/>
          <w:left w:val="single" w:sz="4" w:space="1" w:color="auto"/>
          <w:bottom w:val="single" w:sz="4" w:space="1" w:color="auto"/>
          <w:right w:val="single" w:sz="4" w:space="1" w:color="auto"/>
        </w:pBdr>
        <w:ind w:left="720"/>
      </w:pPr>
      <w:r w:rsidRPr="002E2477">
        <w:t xml:space="preserve">For about a year after she had spent the money, Sandy relied on her family to feed her and sought the assistance of charities. She thought about suicide.   She contacted Beyond Blue, the organisation that assists people suffering from depression.  Eventually she was put in touch with the Welfare Rights Centre.  </w:t>
      </w:r>
    </w:p>
    <w:p w:rsidR="007024DD" w:rsidRPr="00731CDF" w:rsidRDefault="007024DD" w:rsidP="007024DD">
      <w:pPr>
        <w:pStyle w:val="Body"/>
        <w:pBdr>
          <w:top w:val="single" w:sz="4" w:space="1" w:color="auto"/>
          <w:left w:val="single" w:sz="4" w:space="1" w:color="auto"/>
          <w:bottom w:val="single" w:sz="4" w:space="1" w:color="auto"/>
          <w:right w:val="single" w:sz="4" w:space="1" w:color="auto"/>
        </w:pBdr>
        <w:ind w:left="720"/>
      </w:pPr>
      <w:r w:rsidRPr="002E2477">
        <w:t xml:space="preserve">An appeal was lodged to the Social Security Appeals Tribunal (SSAT).  We gathered evidence to support the claim that Sandy’s mental health had deteriorated to the extent that she was not thinking rationally when she received the compensation money.  We submitted that this amounted to “special circumstances” which warranted a reduction to the preclusion period.  We said that Sandy had already served about 90% of the preclusion period and that failing to reduce the preclusion period to enable her to purchase the necessities of life (such as medication for her illnesses) would be unnecessarily harsh.  The SSAT agreed and ended the preclusion period enabling Sandy to be paid Social Security.  Not only did </w:t>
      </w:r>
      <w:proofErr w:type="spellStart"/>
      <w:r w:rsidRPr="002E2477">
        <w:t>Centrelink</w:t>
      </w:r>
      <w:proofErr w:type="spellEnd"/>
      <w:r w:rsidRPr="002E2477">
        <w:t xml:space="preserve"> not appeal the SSAT decision it recognised the seriousness of Sandy’s predicament and implemented the decision within two days of receiving it. </w:t>
      </w:r>
    </w:p>
    <w:p w:rsidR="007024DD" w:rsidRPr="00DE1A11" w:rsidRDefault="007024DD" w:rsidP="00DE1A11">
      <w:pPr>
        <w:pStyle w:val="Heading3"/>
        <w:pBdr>
          <w:top w:val="single" w:sz="4" w:space="1" w:color="auto"/>
          <w:left w:val="single" w:sz="4" w:space="1" w:color="auto"/>
          <w:bottom w:val="single" w:sz="4" w:space="1" w:color="auto"/>
          <w:right w:val="single" w:sz="4" w:space="1" w:color="auto"/>
        </w:pBdr>
        <w:shd w:val="clear" w:color="auto" w:fill="4A442A" w:themeFill="background2" w:themeFillShade="40"/>
        <w:ind w:left="720"/>
        <w:jc w:val="center"/>
        <w:rPr>
          <w:color w:val="FFFFFF" w:themeColor="background1"/>
        </w:rPr>
      </w:pPr>
      <w:r w:rsidRPr="00DE1A11">
        <w:rPr>
          <w:color w:val="FFFFFF" w:themeColor="background1"/>
        </w:rPr>
        <w:t>There are thousands of similar cases every year, many of whom never make it to our service providers.</w:t>
      </w:r>
    </w:p>
    <w:p w:rsidR="007024DD" w:rsidRDefault="007024DD" w:rsidP="00FB1771">
      <w:pPr>
        <w:pStyle w:val="Body"/>
      </w:pPr>
    </w:p>
    <w:p w:rsidR="00212CD5" w:rsidRDefault="00212CD5" w:rsidP="00FB1771">
      <w:pPr>
        <w:pStyle w:val="Body"/>
      </w:pPr>
      <w:r>
        <w:lastRenderedPageBreak/>
        <w:t xml:space="preserve">The practical </w:t>
      </w:r>
      <w:r w:rsidR="009816B7">
        <w:t xml:space="preserve">information, </w:t>
      </w:r>
      <w:r>
        <w:t xml:space="preserve">assistance and advice that </w:t>
      </w:r>
      <w:proofErr w:type="gramStart"/>
      <w:r>
        <w:t>is</w:t>
      </w:r>
      <w:proofErr w:type="gramEnd"/>
      <w:r>
        <w:t xml:space="preserve"> </w:t>
      </w:r>
      <w:r w:rsidR="009816B7">
        <w:t xml:space="preserve">generally </w:t>
      </w:r>
      <w:r>
        <w:t xml:space="preserve">provided by Welfare Rights is invaluable, though the real benefit </w:t>
      </w:r>
      <w:r w:rsidR="009816B7">
        <w:t>can be</w:t>
      </w:r>
      <w:r>
        <w:t xml:space="preserve"> difficult to quantify.</w:t>
      </w:r>
      <w:r>
        <w:rPr>
          <w:rStyle w:val="FootnoteReference"/>
          <w:rFonts w:ascii="Calibri" w:hAnsi="Calibri" w:cs="Calibri"/>
        </w:rPr>
        <w:footnoteReference w:id="6"/>
      </w:r>
      <w:r w:rsidR="00C30B19">
        <w:t xml:space="preserve"> </w:t>
      </w:r>
      <w:r>
        <w:t xml:space="preserve"> However, </w:t>
      </w:r>
      <w:r w:rsidR="00C30B19">
        <w:t xml:space="preserve">for example, </w:t>
      </w:r>
      <w:r>
        <w:t xml:space="preserve">in </w:t>
      </w:r>
      <w:r w:rsidR="00C30B19">
        <w:t xml:space="preserve">2011 the Welfare Rights Centre located in </w:t>
      </w:r>
      <w:r w:rsidRPr="00BA00FA">
        <w:t>Sydney</w:t>
      </w:r>
      <w:r w:rsidR="006F2AAB" w:rsidRPr="00BA00FA">
        <w:t xml:space="preserve"> assisted</w:t>
      </w:r>
      <w:r w:rsidRPr="00BA00FA">
        <w:t xml:space="preserve"> </w:t>
      </w:r>
      <w:r w:rsidR="006F2AAB" w:rsidRPr="00BA00FA">
        <w:t xml:space="preserve">clients waive </w:t>
      </w:r>
      <w:r w:rsidR="00817FE9" w:rsidRPr="00BA00FA">
        <w:t>almost</w:t>
      </w:r>
      <w:r w:rsidR="006F2AAB" w:rsidRPr="00BA00FA">
        <w:t xml:space="preserve"> $2 million worth of</w:t>
      </w:r>
      <w:r w:rsidRPr="00BA00FA">
        <w:t xml:space="preserve"> </w:t>
      </w:r>
      <w:proofErr w:type="spellStart"/>
      <w:r w:rsidR="006F2AAB" w:rsidRPr="00BA00FA">
        <w:t>Centrelink</w:t>
      </w:r>
      <w:proofErr w:type="spellEnd"/>
      <w:r w:rsidR="006F2AAB" w:rsidRPr="00BA00FA">
        <w:t xml:space="preserve"> overpayments</w:t>
      </w:r>
      <w:r w:rsidRPr="00BA00FA">
        <w:t xml:space="preserve"> under very strict debt waiver provisions that a 2</w:t>
      </w:r>
      <w:r w:rsidR="00C30B19" w:rsidRPr="00BA00FA">
        <w:t>010 Senate</w:t>
      </w:r>
      <w:r w:rsidR="00C30B19">
        <w:t xml:space="preserve"> Committee unanimously</w:t>
      </w:r>
      <w:r>
        <w:t xml:space="preserve"> condemned as “onerous and unfair”.</w:t>
      </w:r>
      <w:r>
        <w:rPr>
          <w:rStyle w:val="FootnoteReference"/>
          <w:rFonts w:ascii="Calibri" w:hAnsi="Calibri" w:cs="Calibri"/>
        </w:rPr>
        <w:footnoteReference w:id="7"/>
      </w:r>
    </w:p>
    <w:p w:rsidR="00817FE9" w:rsidRDefault="00817FE9" w:rsidP="00FB1771">
      <w:pPr>
        <w:pStyle w:val="Body"/>
      </w:pPr>
      <w:r>
        <w:t>It</w:t>
      </w:r>
      <w:r w:rsidR="00D0417A">
        <w:t xml:space="preserve"> is important for </w:t>
      </w:r>
      <w:r w:rsidR="00BA00FA">
        <w:t xml:space="preserve">the </w:t>
      </w:r>
      <w:r w:rsidR="00D0417A">
        <w:t>Government to consider that when  Welfare Rights assists a person to obtain a payment, have an overpayment cancelled or obtain arrears of income support, this assists in ensuring that individuals and families are more secure financially and are able to meet the costs of rent, food</w:t>
      </w:r>
      <w:r>
        <w:t>, medicines and utilities. Importantly, our interventions can help prevent a personal crisis, and reduce others costs related to the use of emergency services and non-government organisations and other costs in health, housing and community and justice services.</w:t>
      </w:r>
      <w:r w:rsidR="00D0417A">
        <w:t xml:space="preserve"> </w:t>
      </w:r>
    </w:p>
    <w:p w:rsidR="00212CD5" w:rsidRPr="00731CDF" w:rsidRDefault="006F2AAB" w:rsidP="00731CDF">
      <w:pPr>
        <w:pStyle w:val="Body"/>
      </w:pPr>
      <w:r w:rsidRPr="00C30B19">
        <w:t>NWRN’s</w:t>
      </w:r>
      <w:r w:rsidR="00212CD5" w:rsidRPr="00C30B19">
        <w:t xml:space="preserve"> </w:t>
      </w:r>
      <w:r w:rsidR="009816B7" w:rsidRPr="00C30B19">
        <w:t xml:space="preserve">legal </w:t>
      </w:r>
      <w:r w:rsidRPr="00C30B19">
        <w:t xml:space="preserve">and information </w:t>
      </w:r>
      <w:r w:rsidR="009816B7" w:rsidRPr="00C30B19">
        <w:t>services</w:t>
      </w:r>
      <w:r w:rsidR="00212CD5" w:rsidRPr="00C30B19">
        <w:t xml:space="preserve"> provide</w:t>
      </w:r>
      <w:r w:rsidR="009816B7" w:rsidRPr="00C30B19">
        <w:t xml:space="preserve"> significant value for money</w:t>
      </w:r>
      <w:r w:rsidR="00C30B19" w:rsidRPr="00C30B19">
        <w:t xml:space="preserve">.   The </w:t>
      </w:r>
      <w:r w:rsidR="00212CD5" w:rsidRPr="00C30B19">
        <w:t xml:space="preserve">Attorney-General’s </w:t>
      </w:r>
      <w:r w:rsidR="00212CD5" w:rsidRPr="00C30B19">
        <w:rPr>
          <w:i/>
        </w:rPr>
        <w:t>Access to Justice</w:t>
      </w:r>
      <w:r w:rsidR="00212CD5" w:rsidRPr="00C30B19">
        <w:t xml:space="preserve"> report </w:t>
      </w:r>
      <w:r w:rsidR="00D0417A">
        <w:t xml:space="preserve">reviewed services like those provided by NWRN </w:t>
      </w:r>
      <w:r w:rsidR="00D0417A" w:rsidRPr="00C30B19">
        <w:t xml:space="preserve"> </w:t>
      </w:r>
      <w:r w:rsidR="00D0417A">
        <w:t xml:space="preserve">members and </w:t>
      </w:r>
      <w:r w:rsidR="00212CD5" w:rsidRPr="00C30B19">
        <w:t>conclude</w:t>
      </w:r>
      <w:r w:rsidR="00D0417A">
        <w:t>d</w:t>
      </w:r>
      <w:r w:rsidR="00212CD5" w:rsidRPr="00C30B19">
        <w:t xml:space="preserve"> that “services that can be described</w:t>
      </w:r>
      <w:r w:rsidR="00212CD5">
        <w:t xml:space="preserve"> as early intervention services, such as advice and minor assistance, legal information and community legal education…deliver substantial benefit to the community”.</w:t>
      </w:r>
      <w:r w:rsidR="009816B7">
        <w:rPr>
          <w:rStyle w:val="FootnoteReference"/>
          <w:rFonts w:ascii="Calibri" w:hAnsi="Calibri" w:cs="Calibri"/>
        </w:rPr>
        <w:footnoteReference w:id="8"/>
      </w:r>
    </w:p>
    <w:p w:rsidR="00212CD5" w:rsidRDefault="00212CD5" w:rsidP="00FB1771">
      <w:pPr>
        <w:pStyle w:val="Body"/>
      </w:pPr>
      <w:r>
        <w:t xml:space="preserve">Additional </w:t>
      </w:r>
      <w:r w:rsidR="006F2AAB">
        <w:t xml:space="preserve">taxpayer </w:t>
      </w:r>
      <w:r>
        <w:t xml:space="preserve">assistance for </w:t>
      </w:r>
      <w:r w:rsidR="006F2AAB">
        <w:t>NWRN</w:t>
      </w:r>
      <w:r>
        <w:t xml:space="preserve"> </w:t>
      </w:r>
      <w:r w:rsidR="006F2AAB" w:rsidRPr="00C30B19">
        <w:t>will bring tangible benefits for</w:t>
      </w:r>
      <w:r w:rsidR="00C30B19" w:rsidRPr="00C30B19">
        <w:t xml:space="preserve"> community members</w:t>
      </w:r>
      <w:r w:rsidRPr="00C30B19">
        <w:t xml:space="preserve">, but </w:t>
      </w:r>
      <w:r w:rsidR="006F2AAB" w:rsidRPr="00C30B19">
        <w:t xml:space="preserve">it </w:t>
      </w:r>
      <w:r w:rsidRPr="00C30B19">
        <w:t xml:space="preserve">also </w:t>
      </w:r>
      <w:r w:rsidR="006F2AAB" w:rsidRPr="00C30B19">
        <w:t>makes</w:t>
      </w:r>
      <w:r w:rsidRPr="00C30B19">
        <w:t xml:space="preserve"> good financial sense. This is because solving problems at the earliest opportunity with </w:t>
      </w:r>
      <w:proofErr w:type="spellStart"/>
      <w:r w:rsidRPr="00C30B19">
        <w:t>Centrelink</w:t>
      </w:r>
      <w:proofErr w:type="spellEnd"/>
      <w:r w:rsidRPr="00C30B19">
        <w:t xml:space="preserve"> at the Original Decision Maker or Authorised Review Officer level means less expense in comparison to taking matters to the Social Security Appeals Tribunal</w:t>
      </w:r>
      <w:r w:rsidRPr="00C30B19">
        <w:rPr>
          <w:i/>
        </w:rPr>
        <w:t xml:space="preserve"> (</w:t>
      </w:r>
      <w:r w:rsidRPr="00C30B19">
        <w:t>SSAT) or the Administrative Appeals Tribunal (AAT). For income support recipients, early resolution represents much quicker access to justice. In addition to being more efficient the experience for individual</w:t>
      </w:r>
      <w:r w:rsidR="00BA00FA">
        <w:t>s</w:t>
      </w:r>
      <w:r w:rsidRPr="00C30B19">
        <w:t xml:space="preserve"> and their families and carers </w:t>
      </w:r>
      <w:r w:rsidR="00817FE9">
        <w:t>can be less stressful and traumatic</w:t>
      </w:r>
      <w:r w:rsidRPr="00C30B19">
        <w:t xml:space="preserve">, as many lack the </w:t>
      </w:r>
      <w:r w:rsidR="009816B7" w:rsidRPr="00C30B19">
        <w:t>resources or</w:t>
      </w:r>
      <w:r w:rsidRPr="00C30B19">
        <w:t xml:space="preserve"> capacity to pursue their appeals to more formal levels. </w:t>
      </w:r>
    </w:p>
    <w:p w:rsidR="00212CD5" w:rsidRPr="00731CDF" w:rsidRDefault="009816B7" w:rsidP="00731CDF">
      <w:pPr>
        <w:pStyle w:val="Body"/>
      </w:pPr>
      <w:r>
        <w:t xml:space="preserve">Welfare Rights </w:t>
      </w:r>
      <w:r w:rsidR="00C30B19">
        <w:t>Services contribute</w:t>
      </w:r>
      <w:r>
        <w:t xml:space="preserve"> to ensuring that disadvantaged and low income Australians interact with an income support and employment services system</w:t>
      </w:r>
      <w:r w:rsidR="00212CD5">
        <w:t xml:space="preserve"> </w:t>
      </w:r>
      <w:r>
        <w:t xml:space="preserve">that is </w:t>
      </w:r>
      <w:r w:rsidR="00212CD5">
        <w:t xml:space="preserve">significantly fairer for </w:t>
      </w:r>
      <w:r>
        <w:t>ordinary Australians</w:t>
      </w:r>
      <w:r w:rsidR="00212CD5">
        <w:t xml:space="preserve"> as most are unrepresented at SSAT hearings. Of those appeals involving a </w:t>
      </w:r>
      <w:proofErr w:type="spellStart"/>
      <w:r w:rsidR="00212CD5">
        <w:t>Centrelink</w:t>
      </w:r>
      <w:proofErr w:type="spellEnd"/>
      <w:r w:rsidR="00212CD5">
        <w:t xml:space="preserve"> matter only about 3 per cent were represented by a legal representative.   </w:t>
      </w:r>
    </w:p>
    <w:p w:rsidR="00212CD5" w:rsidRDefault="00212CD5" w:rsidP="00212CD5">
      <w:pPr>
        <w:pStyle w:val="Default"/>
        <w:jc w:val="both"/>
        <w:rPr>
          <w:bCs/>
          <w:sz w:val="22"/>
          <w:szCs w:val="22"/>
        </w:rPr>
      </w:pPr>
      <w:r>
        <w:rPr>
          <w:bCs/>
          <w:sz w:val="22"/>
          <w:szCs w:val="22"/>
        </w:rPr>
        <w:t>This submission outlines three funding proposals for consideratio</w:t>
      </w:r>
      <w:r w:rsidR="00141E45">
        <w:rPr>
          <w:bCs/>
          <w:sz w:val="22"/>
          <w:szCs w:val="22"/>
        </w:rPr>
        <w:t xml:space="preserve">n </w:t>
      </w:r>
      <w:proofErr w:type="gramStart"/>
      <w:r>
        <w:rPr>
          <w:bCs/>
          <w:sz w:val="22"/>
          <w:szCs w:val="22"/>
        </w:rPr>
        <w:t>in the 201</w:t>
      </w:r>
      <w:r w:rsidR="00817FE9">
        <w:rPr>
          <w:bCs/>
          <w:sz w:val="22"/>
          <w:szCs w:val="22"/>
        </w:rPr>
        <w:t>2</w:t>
      </w:r>
      <w:r>
        <w:rPr>
          <w:bCs/>
          <w:sz w:val="22"/>
          <w:szCs w:val="22"/>
        </w:rPr>
        <w:t>-1</w:t>
      </w:r>
      <w:r w:rsidR="00817FE9">
        <w:rPr>
          <w:bCs/>
          <w:sz w:val="22"/>
          <w:szCs w:val="22"/>
        </w:rPr>
        <w:t>3</w:t>
      </w:r>
      <w:r>
        <w:rPr>
          <w:bCs/>
          <w:sz w:val="22"/>
          <w:szCs w:val="22"/>
        </w:rPr>
        <w:t xml:space="preserve"> Federal Budget</w:t>
      </w:r>
      <w:proofErr w:type="gramEnd"/>
      <w:r>
        <w:rPr>
          <w:bCs/>
          <w:sz w:val="22"/>
          <w:szCs w:val="22"/>
        </w:rPr>
        <w:t>. We believe that the proposals in this submission should be funded by contributions from across a range of Gover</w:t>
      </w:r>
      <w:r w:rsidR="00C30B19">
        <w:rPr>
          <w:bCs/>
          <w:sz w:val="22"/>
          <w:szCs w:val="22"/>
        </w:rPr>
        <w:t xml:space="preserve">nment agencies and departments because </w:t>
      </w:r>
      <w:r>
        <w:rPr>
          <w:bCs/>
          <w:sz w:val="22"/>
          <w:szCs w:val="22"/>
        </w:rPr>
        <w:t xml:space="preserve">Welfare Rights </w:t>
      </w:r>
      <w:r w:rsidR="00C30B19">
        <w:rPr>
          <w:bCs/>
          <w:sz w:val="22"/>
          <w:szCs w:val="22"/>
        </w:rPr>
        <w:t>services directly assist</w:t>
      </w:r>
      <w:r>
        <w:rPr>
          <w:bCs/>
          <w:sz w:val="22"/>
          <w:szCs w:val="22"/>
        </w:rPr>
        <w:t xml:space="preserve"> individuals </w:t>
      </w:r>
      <w:r w:rsidR="00C30B19">
        <w:rPr>
          <w:bCs/>
          <w:sz w:val="22"/>
          <w:szCs w:val="22"/>
        </w:rPr>
        <w:t xml:space="preserve">and families </w:t>
      </w:r>
      <w:r>
        <w:rPr>
          <w:bCs/>
          <w:sz w:val="22"/>
          <w:szCs w:val="22"/>
        </w:rPr>
        <w:t>across a wide range of Government departments and agencies.  In addition, Welfare Rights</w:t>
      </w:r>
      <w:r w:rsidR="00C30B19">
        <w:rPr>
          <w:bCs/>
          <w:sz w:val="22"/>
          <w:szCs w:val="22"/>
        </w:rPr>
        <w:t xml:space="preserve"> services</w:t>
      </w:r>
      <w:r>
        <w:rPr>
          <w:bCs/>
          <w:sz w:val="22"/>
          <w:szCs w:val="22"/>
        </w:rPr>
        <w:t xml:space="preserve"> and NWRN</w:t>
      </w:r>
      <w:r w:rsidR="00C30B19">
        <w:rPr>
          <w:bCs/>
          <w:sz w:val="22"/>
          <w:szCs w:val="22"/>
        </w:rPr>
        <w:t>, the peak body, provide</w:t>
      </w:r>
      <w:r>
        <w:rPr>
          <w:bCs/>
          <w:sz w:val="22"/>
          <w:szCs w:val="22"/>
        </w:rPr>
        <w:t xml:space="preserve"> a valuable contribution to service delivery and policy development, with other benefits that</w:t>
      </w:r>
      <w:r w:rsidR="00296288">
        <w:rPr>
          <w:bCs/>
          <w:sz w:val="22"/>
          <w:szCs w:val="22"/>
        </w:rPr>
        <w:t xml:space="preserve"> </w:t>
      </w:r>
      <w:r>
        <w:rPr>
          <w:bCs/>
          <w:sz w:val="22"/>
          <w:szCs w:val="22"/>
        </w:rPr>
        <w:t xml:space="preserve">flow from our advice and law reform activities. The relevant departments include: the Department of the Attorney General, </w:t>
      </w:r>
      <w:r>
        <w:rPr>
          <w:sz w:val="22"/>
          <w:szCs w:val="22"/>
        </w:rPr>
        <w:t xml:space="preserve">the Department of Families, Housing, Community Services and Indigenous </w:t>
      </w:r>
      <w:r>
        <w:rPr>
          <w:sz w:val="22"/>
          <w:szCs w:val="22"/>
        </w:rPr>
        <w:lastRenderedPageBreak/>
        <w:t xml:space="preserve">Affairs, the Department of Education, Employment and Workplace Relations, the Department of Immigration and Citizenship, the Department of Human Services and </w:t>
      </w:r>
      <w:proofErr w:type="spellStart"/>
      <w:r>
        <w:rPr>
          <w:sz w:val="22"/>
          <w:szCs w:val="22"/>
        </w:rPr>
        <w:t>Centrelink</w:t>
      </w:r>
      <w:proofErr w:type="spellEnd"/>
      <w:r>
        <w:rPr>
          <w:sz w:val="22"/>
          <w:szCs w:val="22"/>
        </w:rPr>
        <w:t>.</w:t>
      </w:r>
    </w:p>
    <w:p w:rsidR="00212CD5" w:rsidRDefault="00212CD5" w:rsidP="00212CD5">
      <w:pPr>
        <w:pStyle w:val="Default"/>
        <w:jc w:val="both"/>
        <w:rPr>
          <w:bCs/>
          <w:sz w:val="22"/>
          <w:szCs w:val="22"/>
        </w:rPr>
      </w:pPr>
    </w:p>
    <w:p w:rsidR="0043336B" w:rsidRPr="00731CDF" w:rsidRDefault="00C30B19" w:rsidP="00731CDF">
      <w:pPr>
        <w:pStyle w:val="Body"/>
      </w:pPr>
      <w:r>
        <w:t xml:space="preserve">Welfare Rights services across Australia </w:t>
      </w:r>
      <w:r w:rsidR="00212CD5">
        <w:t xml:space="preserve">are required to apply strict guidelines to determine who is eligible for help, resulting in unmet legal need. </w:t>
      </w:r>
      <w:r w:rsidR="00966FA0" w:rsidRPr="00C30B19">
        <w:t>There</w:t>
      </w:r>
      <w:r w:rsidR="00212CD5" w:rsidRPr="00C30B19">
        <w:t xml:space="preserve"> is a significant unmet need for the independent practical advice and information about Social Security and Family Assi</w:t>
      </w:r>
      <w:r w:rsidR="00841CDC" w:rsidRPr="00C30B19">
        <w:t>stance l</w:t>
      </w:r>
      <w:r w:rsidR="00212CD5" w:rsidRPr="00C30B19">
        <w:t>egislation</w:t>
      </w:r>
      <w:r w:rsidR="00841CDC" w:rsidRPr="00C30B19">
        <w:t xml:space="preserve"> in Australia</w:t>
      </w:r>
      <w:r w:rsidR="00212CD5" w:rsidRPr="00C30B19">
        <w:t xml:space="preserve">. Extra resourcing would allow many more vulnerable Australians to get the help they need to deal with their </w:t>
      </w:r>
      <w:proofErr w:type="spellStart"/>
      <w:r w:rsidR="00212CD5" w:rsidRPr="00C30B19">
        <w:t>Centrelink</w:t>
      </w:r>
      <w:proofErr w:type="spellEnd"/>
      <w:r w:rsidR="00212CD5" w:rsidRPr="00C30B19">
        <w:t xml:space="preserve"> matter.</w:t>
      </w:r>
    </w:p>
    <w:p w:rsidR="00212CD5" w:rsidRPr="00731CDF" w:rsidRDefault="00212CD5" w:rsidP="00731CDF">
      <w:pPr>
        <w:pStyle w:val="Heading1"/>
      </w:pPr>
      <w:bookmarkStart w:id="4" w:name="_Toc315947178"/>
      <w:r>
        <w:t>Expand access to</w:t>
      </w:r>
      <w:r w:rsidR="00296288">
        <w:t xml:space="preserve"> Welfare Rights</w:t>
      </w:r>
      <w:r>
        <w:t xml:space="preserve"> legal </w:t>
      </w:r>
      <w:r w:rsidR="00296288">
        <w:t xml:space="preserve">services </w:t>
      </w:r>
      <w:r>
        <w:t>and assistance</w:t>
      </w:r>
      <w:bookmarkEnd w:id="4"/>
    </w:p>
    <w:p w:rsidR="00212CD5" w:rsidRDefault="00C30B19" w:rsidP="00E27920">
      <w:pPr>
        <w:pStyle w:val="Body"/>
      </w:pPr>
      <w:r>
        <w:t>The Government should look to</w:t>
      </w:r>
      <w:r w:rsidR="00212CD5">
        <w:t xml:space="preserve"> build</w:t>
      </w:r>
      <w:r>
        <w:t>ing</w:t>
      </w:r>
      <w:r w:rsidR="00212CD5">
        <w:t xml:space="preserve"> the capacity of disadvantaged </w:t>
      </w:r>
      <w:r w:rsidR="0043336B">
        <w:t>individuals</w:t>
      </w:r>
      <w:r>
        <w:t>, families</w:t>
      </w:r>
      <w:r w:rsidR="0043336B">
        <w:t xml:space="preserve"> </w:t>
      </w:r>
      <w:r w:rsidR="00212CD5">
        <w:t xml:space="preserve">and </w:t>
      </w:r>
      <w:r w:rsidR="0043336B">
        <w:t xml:space="preserve">communities, </w:t>
      </w:r>
      <w:r w:rsidR="00212CD5">
        <w:t xml:space="preserve">to </w:t>
      </w:r>
      <w:r w:rsidR="0043336B">
        <w:t xml:space="preserve">ensure they can benefit from and </w:t>
      </w:r>
      <w:r w:rsidR="00212CD5">
        <w:t xml:space="preserve">understand the increasingly complex Social Security </w:t>
      </w:r>
      <w:r w:rsidR="0043336B">
        <w:t xml:space="preserve">system of </w:t>
      </w:r>
      <w:r w:rsidR="00212CD5">
        <w:t xml:space="preserve">obligations and responsibilities </w:t>
      </w:r>
      <w:r w:rsidR="0043336B">
        <w:t>while ensuring</w:t>
      </w:r>
      <w:r w:rsidR="00212CD5">
        <w:t xml:space="preserve"> access </w:t>
      </w:r>
      <w:r w:rsidR="00EC4017">
        <w:t xml:space="preserve">to </w:t>
      </w:r>
      <w:r w:rsidR="00212CD5">
        <w:t xml:space="preserve">their full </w:t>
      </w:r>
      <w:r w:rsidR="0043336B">
        <w:t xml:space="preserve">suite of </w:t>
      </w:r>
      <w:r w:rsidR="00212CD5">
        <w:t xml:space="preserve">Social Security entitlements. </w:t>
      </w:r>
      <w:r w:rsidR="0043336B">
        <w:t>NWRN seeks</w:t>
      </w:r>
      <w:r w:rsidR="00212CD5">
        <w:t xml:space="preserve"> </w:t>
      </w:r>
      <w:r w:rsidR="0043336B">
        <w:t>to</w:t>
      </w:r>
      <w:r w:rsidR="00212CD5">
        <w:t xml:space="preserve"> improve the accountability of </w:t>
      </w:r>
      <w:proofErr w:type="spellStart"/>
      <w:r w:rsidR="00212CD5">
        <w:t>Centrelink’s</w:t>
      </w:r>
      <w:proofErr w:type="spellEnd"/>
      <w:r w:rsidR="00212CD5">
        <w:t xml:space="preserve"> delivery of around a third of th</w:t>
      </w:r>
      <w:r w:rsidR="0043336B">
        <w:t xml:space="preserve">e nation’s budget, and to </w:t>
      </w:r>
      <w:r w:rsidR="00212CD5">
        <w:t>enhance the capacity and responsiveness of Government policy departments</w:t>
      </w:r>
      <w:r w:rsidR="0043336B">
        <w:t>.</w:t>
      </w:r>
      <w:r w:rsidR="00212CD5">
        <w:t xml:space="preserve"> </w:t>
      </w:r>
      <w:r>
        <w:t xml:space="preserve"> </w:t>
      </w:r>
      <w:r w:rsidR="0043336B">
        <w:t>In</w:t>
      </w:r>
      <w:r w:rsidR="00212CD5">
        <w:t xml:space="preserve"> </w:t>
      </w:r>
      <w:r w:rsidR="0043336B">
        <w:t>undertaking our work we seek to ensure</w:t>
      </w:r>
      <w:r w:rsidR="00212CD5">
        <w:t xml:space="preserve"> that the policy departments and </w:t>
      </w:r>
      <w:proofErr w:type="spellStart"/>
      <w:r w:rsidR="00212CD5">
        <w:t>Centrelink</w:t>
      </w:r>
      <w:proofErr w:type="spellEnd"/>
      <w:r w:rsidR="0043336B">
        <w:t xml:space="preserve"> and Human Services</w:t>
      </w:r>
      <w:r w:rsidR="00A52D75">
        <w:t xml:space="preserve"> </w:t>
      </w:r>
      <w:r w:rsidR="00212CD5">
        <w:t xml:space="preserve">have access to informed, credible, client-focussed, expert feedback on </w:t>
      </w:r>
      <w:proofErr w:type="spellStart"/>
      <w:r w:rsidR="00212CD5">
        <w:t>Centrelink</w:t>
      </w:r>
      <w:proofErr w:type="spellEnd"/>
      <w:r w:rsidR="00212CD5">
        <w:t xml:space="preserve"> practice and performance. </w:t>
      </w:r>
    </w:p>
    <w:p w:rsidR="00212CD5" w:rsidRDefault="00212CD5" w:rsidP="00731CDF">
      <w:pPr>
        <w:pStyle w:val="Body"/>
      </w:pPr>
      <w:r>
        <w:t xml:space="preserve">One of the most effective ways of achieving this is by expanding the network of specialist Social Security advice and advocacy services </w:t>
      </w:r>
      <w:r w:rsidR="00C30B19">
        <w:t xml:space="preserve">(Welfare Rights services) </w:t>
      </w:r>
      <w:r>
        <w:t xml:space="preserve">throughout Australia and making them more efficient by improving their coordination. Such assistance is particularly relevant to promote the Government’s initiatives to improve workforce participation, reduce homelessness and advance its social inclusion plans. </w:t>
      </w:r>
    </w:p>
    <w:p w:rsidR="00212CD5" w:rsidRDefault="00212CD5" w:rsidP="00731CDF">
      <w:pPr>
        <w:pStyle w:val="Body"/>
      </w:pPr>
      <w:r>
        <w:t xml:space="preserve">There continues to be a significant number of appeals and complaints about </w:t>
      </w:r>
      <w:proofErr w:type="spellStart"/>
      <w:r>
        <w:t>Centrelink</w:t>
      </w:r>
      <w:proofErr w:type="spellEnd"/>
      <w:r>
        <w:t xml:space="preserve"> services</w:t>
      </w:r>
      <w:r w:rsidR="00EC4017">
        <w:t xml:space="preserve"> as</w:t>
      </w:r>
      <w:r>
        <w:t xml:space="preserve"> reported in the Annual Reports of the Commonwealth Ombudsman, </w:t>
      </w:r>
      <w:proofErr w:type="spellStart"/>
      <w:r>
        <w:t>Centrelink</w:t>
      </w:r>
      <w:proofErr w:type="spellEnd"/>
      <w:r>
        <w:t xml:space="preserve"> and the Social Security Appeals Tribunal. This has resulted in increased demand for information and advice by those impacted by </w:t>
      </w:r>
      <w:proofErr w:type="spellStart"/>
      <w:r>
        <w:t>Centrelink</w:t>
      </w:r>
      <w:proofErr w:type="spellEnd"/>
      <w:r>
        <w:t xml:space="preserve"> decisions and </w:t>
      </w:r>
      <w:r w:rsidR="00296288">
        <w:t>the way it operates</w:t>
      </w:r>
      <w:r>
        <w:t xml:space="preserve">. </w:t>
      </w:r>
    </w:p>
    <w:p w:rsidR="00212CD5" w:rsidRDefault="00212CD5" w:rsidP="00731CDF">
      <w:pPr>
        <w:pStyle w:val="Body"/>
      </w:pPr>
      <w:proofErr w:type="spellStart"/>
      <w:r>
        <w:t>Centrelink</w:t>
      </w:r>
      <w:proofErr w:type="spellEnd"/>
      <w:r>
        <w:t xml:space="preserve"> practices </w:t>
      </w:r>
      <w:r w:rsidR="00A52D75">
        <w:t xml:space="preserve">that are undesirable or unhelpful </w:t>
      </w:r>
      <w:r>
        <w:t xml:space="preserve">could be significantly improved by an expansion of independent Social Security advice and advocacy services enabling pensioners, parents, carers, people with disabilities, students and unemployed people to receive independent advice and to challenge </w:t>
      </w:r>
      <w:proofErr w:type="spellStart"/>
      <w:r>
        <w:t>Centrelink</w:t>
      </w:r>
      <w:proofErr w:type="spellEnd"/>
      <w:r>
        <w:t xml:space="preserve"> decisions where necessary. </w:t>
      </w:r>
    </w:p>
    <w:p w:rsidR="00212CD5" w:rsidRDefault="00212CD5" w:rsidP="00731CDF">
      <w:pPr>
        <w:pStyle w:val="Body"/>
      </w:pPr>
      <w:r>
        <w:t xml:space="preserve">Due to current resource limitations, far too few people can </w:t>
      </w:r>
      <w:r w:rsidR="00296288">
        <w:t>obtain</w:t>
      </w:r>
      <w:r>
        <w:t xml:space="preserve"> assistance</w:t>
      </w:r>
      <w:r w:rsidR="00296288">
        <w:t xml:space="preserve"> from NWRN. </w:t>
      </w:r>
      <w:r>
        <w:t xml:space="preserve"> </w:t>
      </w:r>
      <w:r w:rsidR="00296288">
        <w:t xml:space="preserve">This </w:t>
      </w:r>
      <w:r>
        <w:t xml:space="preserve">enables </w:t>
      </w:r>
      <w:proofErr w:type="spellStart"/>
      <w:r>
        <w:t>Centrelink</w:t>
      </w:r>
      <w:proofErr w:type="spellEnd"/>
      <w:r>
        <w:t xml:space="preserve"> to be less accountable and responsive than it should be. </w:t>
      </w:r>
      <w:r w:rsidR="00296288">
        <w:t>As</w:t>
      </w:r>
      <w:r>
        <w:t xml:space="preserve"> Social Security law has become increasingly more complex and as workforce age payments have increasingly required higher levels of activity and participation the availability of independent advice on Social Security and </w:t>
      </w:r>
      <w:proofErr w:type="spellStart"/>
      <w:r>
        <w:t>Centrelink</w:t>
      </w:r>
      <w:proofErr w:type="spellEnd"/>
      <w:r>
        <w:t xml:space="preserve"> matters has diminished. </w:t>
      </w:r>
    </w:p>
    <w:p w:rsidR="00A52D75" w:rsidRDefault="00A52D75" w:rsidP="00731CDF">
      <w:pPr>
        <w:pStyle w:val="Body"/>
      </w:pPr>
      <w:r>
        <w:t>There is both a public and private benefit in an increased focus on improve</w:t>
      </w:r>
      <w:r w:rsidR="00C30B19">
        <w:t>d</w:t>
      </w:r>
      <w:r>
        <w:t xml:space="preserve"> access to independen</w:t>
      </w:r>
      <w:r w:rsidR="003B6F26">
        <w:t xml:space="preserve">t information and advice </w:t>
      </w:r>
      <w:r>
        <w:t>regarding individuals</w:t>
      </w:r>
      <w:r w:rsidR="00296288">
        <w:t>’</w:t>
      </w:r>
      <w:r>
        <w:t xml:space="preserve"> rights and </w:t>
      </w:r>
      <w:r w:rsidR="00EC4017">
        <w:t xml:space="preserve">obligations </w:t>
      </w:r>
      <w:r>
        <w:t>on income support matters.</w:t>
      </w:r>
    </w:p>
    <w:p w:rsidR="007024DD" w:rsidRDefault="00212CD5" w:rsidP="00731CDF">
      <w:pPr>
        <w:pStyle w:val="Body"/>
      </w:pPr>
      <w:r>
        <w:lastRenderedPageBreak/>
        <w:t xml:space="preserve">Currently there </w:t>
      </w:r>
      <w:proofErr w:type="gramStart"/>
      <w:r>
        <w:t>are</w:t>
      </w:r>
      <w:proofErr w:type="gramEnd"/>
      <w:r>
        <w:t xml:space="preserve"> just over 42,000 Department of Human Services staff making countless decisions each day and only 24 Commonwealth funded specialist Welfare Rights workers throughout Australia to provide independent </w:t>
      </w:r>
      <w:r w:rsidR="00296288">
        <w:t>information and legal advice</w:t>
      </w:r>
      <w:r>
        <w:t xml:space="preserve">. All of these Welfare Rights positions receive less funding than other Community Legal Centre positions and consequently many are only part-time. </w:t>
      </w:r>
    </w:p>
    <w:p w:rsidR="00296288" w:rsidRPr="00E27920" w:rsidRDefault="00296288" w:rsidP="00E27920">
      <w:pPr>
        <w:pStyle w:val="Heading2"/>
        <w:numPr>
          <w:ilvl w:val="1"/>
          <w:numId w:val="25"/>
        </w:numPr>
        <w:ind w:left="567" w:hanging="567"/>
        <w:rPr>
          <w:rStyle w:val="Heading3Char"/>
        </w:rPr>
      </w:pPr>
      <w:bookmarkStart w:id="5" w:name="_Toc315947179"/>
      <w:r w:rsidRPr="00731CDF">
        <w:t>A history of Commonwealth funding for Welfare Rights legal</w:t>
      </w:r>
      <w:r w:rsidRPr="00E27920">
        <w:t xml:space="preserve"> </w:t>
      </w:r>
      <w:r w:rsidRPr="00E27920">
        <w:rPr>
          <w:rFonts w:eastAsiaTheme="majorEastAsia"/>
        </w:rPr>
        <w:t>services</w:t>
      </w:r>
      <w:bookmarkEnd w:id="5"/>
    </w:p>
    <w:p w:rsidR="00212CD5" w:rsidRPr="00E27920" w:rsidRDefault="00212CD5" w:rsidP="00E27920">
      <w:pPr>
        <w:pStyle w:val="Body"/>
        <w:jc w:val="left"/>
        <w:sectPr w:rsidR="00212CD5" w:rsidRPr="00E27920">
          <w:footerReference w:type="default" r:id="rId11"/>
          <w:pgSz w:w="12240" w:h="15840"/>
          <w:pgMar w:top="1440" w:right="1800" w:bottom="1440" w:left="1800" w:header="720" w:footer="720" w:gutter="0"/>
          <w:cols w:space="720"/>
        </w:sectPr>
      </w:pPr>
      <w:r>
        <w:t>From a</w:t>
      </w:r>
      <w:r w:rsidR="00C30B19">
        <w:t>n</w:t>
      </w:r>
      <w:r>
        <w:t xml:space="preserve"> historical perspective in 1993, the Commonwealth Government provided an initial $1 million for the establishment of a Welfare Rights Funding Program. The money was permanently ceded from the Department of Social Security to be administered by the Attorney General</w:t>
      </w:r>
      <w:r w:rsidR="00327116">
        <w:t>’</w:t>
      </w:r>
      <w:r>
        <w:t xml:space="preserve">s Department, as part of the Community Legal Services Program (CLSP). </w:t>
      </w:r>
      <w:r w:rsidR="00327116">
        <w:t xml:space="preserve"> </w:t>
      </w:r>
      <w:r>
        <w:t xml:space="preserve">This funding program has received indexation increases since that time but has never been expanded despite an overall increase in the number of Social Security and Family Tax Benefit recipients, massive changes to Social Security and Family Assistance law and a substantial increase in activity testing and the complexity of many aspects of the system. </w:t>
      </w:r>
    </w:p>
    <w:p w:rsidR="00212CD5" w:rsidRDefault="00212CD5" w:rsidP="00731CDF">
      <w:pPr>
        <w:pStyle w:val="Body"/>
      </w:pPr>
      <w:r>
        <w:lastRenderedPageBreak/>
        <w:t xml:space="preserve">Over the last few years </w:t>
      </w:r>
      <w:r w:rsidR="00327116">
        <w:t xml:space="preserve">there has been some additional and </w:t>
      </w:r>
      <w:r>
        <w:t>welcome</w:t>
      </w:r>
      <w:r w:rsidR="00327116">
        <w:t xml:space="preserve"> “</w:t>
      </w:r>
      <w:r>
        <w:t>one-off</w:t>
      </w:r>
      <w:r w:rsidR="00327116">
        <w:t>”</w:t>
      </w:r>
      <w:r>
        <w:t xml:space="preserve"> funding provided by the Commonwealth Attorney General’s Department to some community legal centres across the Community Legal Service Program. The amounts provided varied between NWRN member centres and the </w:t>
      </w:r>
      <w:r w:rsidR="00327116">
        <w:t>“</w:t>
      </w:r>
      <w:r>
        <w:t>one off</w:t>
      </w:r>
      <w:r w:rsidR="00327116">
        <w:t>”</w:t>
      </w:r>
      <w:r>
        <w:t xml:space="preserve"> funding was not provided across all NWRN member centres. </w:t>
      </w:r>
    </w:p>
    <w:p w:rsidR="00212CD5" w:rsidRDefault="00212CD5" w:rsidP="00731CDF">
      <w:pPr>
        <w:pStyle w:val="Body"/>
      </w:pPr>
      <w:r>
        <w:t xml:space="preserve">A </w:t>
      </w:r>
      <w:r w:rsidR="00327116">
        <w:t xml:space="preserve">2011 </w:t>
      </w:r>
      <w:r>
        <w:t xml:space="preserve">Senate inquiry into recent changes to the Disability Support Pension provided current information regarding the Federal Government’s contribution to each Welfare Rights centre.  </w:t>
      </w:r>
    </w:p>
    <w:p w:rsidR="00212CD5" w:rsidRPr="00731CDF" w:rsidRDefault="00212CD5" w:rsidP="00731CDF">
      <w:pPr>
        <w:pStyle w:val="Body"/>
        <w:rPr>
          <w:rFonts w:ascii="Calibri" w:hAnsi="Calibri" w:cs="Calibri"/>
          <w:bCs/>
        </w:rPr>
      </w:pPr>
      <w:r>
        <w:rPr>
          <w:rFonts w:ascii="Calibri" w:hAnsi="Calibri" w:cs="Calibri"/>
          <w:bCs/>
        </w:rPr>
        <w:t>The following information was provided to the Senate by the Department of the Attorney-General in September 2011:</w:t>
      </w:r>
    </w:p>
    <w:p w:rsidR="00212CD5" w:rsidRDefault="00212CD5" w:rsidP="00731CDF">
      <w:pPr>
        <w:pStyle w:val="Body"/>
        <w:rPr>
          <w:rFonts w:ascii="Calibri" w:hAnsi="Calibri" w:cs="Calibri"/>
        </w:rPr>
      </w:pPr>
      <w:r>
        <w:rPr>
          <w:rFonts w:ascii="Calibri" w:hAnsi="Calibri" w:cs="Calibri"/>
        </w:rPr>
        <w:t>“The National Welfare Rights Network is a national peak body consisting of 14 community legal</w:t>
      </w:r>
      <w:r w:rsidR="00731CDF">
        <w:rPr>
          <w:rFonts w:ascii="Calibri" w:hAnsi="Calibri" w:cs="Calibri"/>
        </w:rPr>
        <w:t xml:space="preserve"> </w:t>
      </w:r>
      <w:r>
        <w:rPr>
          <w:rFonts w:ascii="Calibri" w:hAnsi="Calibri" w:cs="Calibri"/>
        </w:rPr>
        <w:t>centres, specialising in Social Security law and policy. All 14 members of the National Welfare</w:t>
      </w:r>
    </w:p>
    <w:p w:rsidR="00327116" w:rsidRPr="00731CDF" w:rsidRDefault="00212CD5" w:rsidP="00731CDF">
      <w:pPr>
        <w:pStyle w:val="Body"/>
        <w:rPr>
          <w:b/>
          <w:bCs/>
        </w:rPr>
      </w:pPr>
      <w:r>
        <w:rPr>
          <w:rFonts w:ascii="Calibri" w:hAnsi="Calibri" w:cs="Calibri"/>
        </w:rPr>
        <w:t xml:space="preserve">Rights Network </w:t>
      </w:r>
      <w:proofErr w:type="gramStart"/>
      <w:r>
        <w:rPr>
          <w:rFonts w:ascii="Calibri" w:hAnsi="Calibri" w:cs="Calibri"/>
        </w:rPr>
        <w:t>receive</w:t>
      </w:r>
      <w:proofErr w:type="gramEnd"/>
      <w:r>
        <w:rPr>
          <w:rFonts w:ascii="Calibri" w:hAnsi="Calibri" w:cs="Calibri"/>
        </w:rPr>
        <w:t xml:space="preserve"> recurrent funding under the CCLSP for welfare rights services. In 2011-12, $1.8 million will be provided to these centres. CCLSP funding supports the delivery of legal assistance services but does not fund individual worker positions as such. In 2010-11, a one-off funding allocation of $70,000 was also provided to the National Welfare Rights Network, to provide </w:t>
      </w:r>
      <w:proofErr w:type="spellStart"/>
      <w:r>
        <w:rPr>
          <w:rFonts w:ascii="Calibri" w:hAnsi="Calibri" w:cs="Calibri"/>
        </w:rPr>
        <w:t>Centrelink</w:t>
      </w:r>
      <w:proofErr w:type="spellEnd"/>
      <w:r>
        <w:rPr>
          <w:rFonts w:ascii="Calibri" w:hAnsi="Calibri" w:cs="Calibri"/>
        </w:rPr>
        <w:t xml:space="preserve"> clients with independent and confidential legal information and advice about the same sex reforms.”</w:t>
      </w:r>
      <w:r>
        <w:rPr>
          <w:rStyle w:val="FootnoteReference"/>
          <w:rFonts w:ascii="Calibri" w:hAnsi="Calibri" w:cs="Calibri"/>
        </w:rPr>
        <w:footnoteReference w:id="9"/>
      </w:r>
    </w:p>
    <w:p w:rsidR="007024DD" w:rsidRDefault="007024DD" w:rsidP="00E27920">
      <w:pPr>
        <w:pStyle w:val="Heading3"/>
      </w:pPr>
    </w:p>
    <w:p w:rsidR="007024DD" w:rsidRDefault="007024DD" w:rsidP="00E27920">
      <w:pPr>
        <w:pStyle w:val="Heading3"/>
      </w:pPr>
    </w:p>
    <w:p w:rsidR="00E96367" w:rsidRPr="00731CDF" w:rsidRDefault="00964DB2" w:rsidP="00E27920">
      <w:pPr>
        <w:pStyle w:val="Heading3"/>
        <w:rPr>
          <w:rFonts w:cs="Arial"/>
          <w:szCs w:val="28"/>
          <w:lang w:eastAsia="en-AU"/>
        </w:rPr>
      </w:pPr>
      <w:r w:rsidRPr="0085625E">
        <w:t xml:space="preserve">Community Legal </w:t>
      </w:r>
      <w:r w:rsidR="000B7DDC" w:rsidRPr="0085625E">
        <w:t xml:space="preserve">Services </w:t>
      </w:r>
      <w:r w:rsidR="001B04A0" w:rsidRPr="0085625E">
        <w:t>Program</w:t>
      </w:r>
      <w:r w:rsidR="000B7DDC" w:rsidRPr="0085625E">
        <w:t xml:space="preserve"> - </w:t>
      </w:r>
      <w:r w:rsidR="00E934CF" w:rsidRPr="0085625E">
        <w:t>Welfare Rights Funding</w:t>
      </w:r>
      <w:r w:rsidRPr="0085625E">
        <w:t>, 2010-11</w:t>
      </w:r>
    </w:p>
    <w:tbl>
      <w:tblPr>
        <w:tblW w:w="8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111"/>
        <w:gridCol w:w="1275"/>
      </w:tblGrid>
      <w:tr w:rsidR="00673ED8" w:rsidRPr="0085625E" w:rsidTr="0085625E">
        <w:trPr>
          <w:jc w:val="center"/>
        </w:trPr>
        <w:tc>
          <w:tcPr>
            <w:tcW w:w="3510" w:type="dxa"/>
            <w:shd w:val="clear" w:color="auto" w:fill="auto"/>
          </w:tcPr>
          <w:p w:rsidR="00673ED8" w:rsidRPr="0085625E" w:rsidRDefault="00673ED8" w:rsidP="00CF7010">
            <w:pPr>
              <w:autoSpaceDE w:val="0"/>
              <w:autoSpaceDN w:val="0"/>
              <w:adjustRightInd w:val="0"/>
              <w:rPr>
                <w:rFonts w:asciiTheme="minorHAnsi" w:hAnsiTheme="minorHAnsi" w:cstheme="minorHAnsi"/>
                <w:sz w:val="22"/>
                <w:szCs w:val="22"/>
                <w:lang w:eastAsia="en-AU"/>
              </w:rPr>
            </w:pPr>
            <w:r w:rsidRPr="0085625E">
              <w:rPr>
                <w:rFonts w:asciiTheme="minorHAnsi" w:hAnsiTheme="minorHAnsi" w:cstheme="minorHAnsi"/>
                <w:sz w:val="22"/>
                <w:szCs w:val="22"/>
                <w:lang w:eastAsia="en-AU"/>
              </w:rPr>
              <w:t>Australian Capital Territory</w:t>
            </w:r>
          </w:p>
          <w:p w:rsidR="00673ED8" w:rsidRPr="0085625E" w:rsidRDefault="00673ED8" w:rsidP="00CF7010">
            <w:pPr>
              <w:autoSpaceDE w:val="0"/>
              <w:autoSpaceDN w:val="0"/>
              <w:adjustRightInd w:val="0"/>
              <w:rPr>
                <w:rFonts w:asciiTheme="minorHAnsi" w:hAnsiTheme="minorHAnsi" w:cstheme="minorHAnsi"/>
                <w:b/>
                <w:bCs/>
                <w:sz w:val="22"/>
                <w:szCs w:val="22"/>
                <w:lang w:eastAsia="en-AU"/>
              </w:rPr>
            </w:pPr>
          </w:p>
        </w:tc>
        <w:tc>
          <w:tcPr>
            <w:tcW w:w="4111" w:type="dxa"/>
            <w:shd w:val="clear" w:color="auto" w:fill="auto"/>
          </w:tcPr>
          <w:p w:rsidR="00673ED8" w:rsidRPr="0085625E" w:rsidRDefault="00673ED8" w:rsidP="00CF7010">
            <w:pPr>
              <w:autoSpaceDE w:val="0"/>
              <w:autoSpaceDN w:val="0"/>
              <w:adjustRightInd w:val="0"/>
              <w:rPr>
                <w:rFonts w:asciiTheme="minorHAnsi" w:hAnsiTheme="minorHAnsi" w:cstheme="minorHAnsi"/>
                <w:b/>
                <w:bCs/>
                <w:sz w:val="22"/>
                <w:szCs w:val="22"/>
                <w:lang w:eastAsia="en-AU"/>
              </w:rPr>
            </w:pPr>
            <w:r w:rsidRPr="0085625E">
              <w:rPr>
                <w:rFonts w:asciiTheme="minorHAnsi" w:hAnsiTheme="minorHAnsi" w:cstheme="minorHAnsi"/>
                <w:sz w:val="22"/>
                <w:szCs w:val="22"/>
                <w:lang w:eastAsia="en-AU"/>
              </w:rPr>
              <w:t>Canberra Welfare Rights and Legal Centre</w:t>
            </w:r>
          </w:p>
        </w:tc>
        <w:tc>
          <w:tcPr>
            <w:tcW w:w="1275" w:type="dxa"/>
            <w:shd w:val="clear" w:color="auto" w:fill="auto"/>
          </w:tcPr>
          <w:p w:rsidR="00673ED8" w:rsidRPr="0085625E" w:rsidRDefault="00673ED8" w:rsidP="00CF7010">
            <w:pPr>
              <w:autoSpaceDE w:val="0"/>
              <w:autoSpaceDN w:val="0"/>
              <w:adjustRightInd w:val="0"/>
              <w:rPr>
                <w:rFonts w:asciiTheme="minorHAnsi" w:hAnsiTheme="minorHAnsi" w:cstheme="minorHAnsi"/>
                <w:b/>
                <w:bCs/>
                <w:sz w:val="22"/>
                <w:szCs w:val="22"/>
                <w:lang w:eastAsia="en-AU"/>
              </w:rPr>
            </w:pPr>
            <w:r w:rsidRPr="0085625E">
              <w:rPr>
                <w:rFonts w:asciiTheme="minorHAnsi" w:hAnsiTheme="minorHAnsi" w:cstheme="minorHAnsi"/>
                <w:sz w:val="22"/>
                <w:szCs w:val="22"/>
                <w:lang w:eastAsia="en-AU"/>
              </w:rPr>
              <w:t>$243,809</w:t>
            </w:r>
          </w:p>
        </w:tc>
      </w:tr>
      <w:tr w:rsidR="00673ED8" w:rsidRPr="0085625E" w:rsidTr="0085625E">
        <w:trPr>
          <w:jc w:val="center"/>
        </w:trPr>
        <w:tc>
          <w:tcPr>
            <w:tcW w:w="3510" w:type="dxa"/>
            <w:shd w:val="clear" w:color="auto" w:fill="auto"/>
          </w:tcPr>
          <w:p w:rsidR="00673ED8" w:rsidRPr="0085625E" w:rsidRDefault="00673ED8" w:rsidP="00CF7010">
            <w:pPr>
              <w:autoSpaceDE w:val="0"/>
              <w:autoSpaceDN w:val="0"/>
              <w:adjustRightInd w:val="0"/>
              <w:rPr>
                <w:rFonts w:asciiTheme="minorHAnsi" w:hAnsiTheme="minorHAnsi" w:cstheme="minorHAnsi"/>
                <w:b/>
                <w:bCs/>
                <w:sz w:val="22"/>
                <w:szCs w:val="22"/>
                <w:lang w:eastAsia="en-AU"/>
              </w:rPr>
            </w:pPr>
            <w:r w:rsidRPr="0085625E">
              <w:rPr>
                <w:rFonts w:asciiTheme="minorHAnsi" w:hAnsiTheme="minorHAnsi" w:cstheme="minorHAnsi"/>
                <w:sz w:val="22"/>
                <w:szCs w:val="22"/>
                <w:lang w:eastAsia="en-AU"/>
              </w:rPr>
              <w:t>New South Wales</w:t>
            </w:r>
          </w:p>
        </w:tc>
        <w:tc>
          <w:tcPr>
            <w:tcW w:w="4111" w:type="dxa"/>
            <w:shd w:val="clear" w:color="auto" w:fill="auto"/>
          </w:tcPr>
          <w:p w:rsidR="00673ED8" w:rsidRPr="0085625E" w:rsidRDefault="00673ED8" w:rsidP="00CF7010">
            <w:pPr>
              <w:autoSpaceDE w:val="0"/>
              <w:autoSpaceDN w:val="0"/>
              <w:adjustRightInd w:val="0"/>
              <w:rPr>
                <w:rFonts w:asciiTheme="minorHAnsi" w:hAnsiTheme="minorHAnsi" w:cstheme="minorHAnsi"/>
                <w:b/>
                <w:bCs/>
                <w:sz w:val="22"/>
                <w:szCs w:val="22"/>
                <w:lang w:eastAsia="en-AU"/>
              </w:rPr>
            </w:pPr>
            <w:r w:rsidRPr="0085625E">
              <w:rPr>
                <w:rFonts w:asciiTheme="minorHAnsi" w:hAnsiTheme="minorHAnsi" w:cstheme="minorHAnsi"/>
                <w:sz w:val="22"/>
                <w:szCs w:val="22"/>
                <w:lang w:eastAsia="en-AU"/>
              </w:rPr>
              <w:t>Illawarra Legal Centre</w:t>
            </w:r>
          </w:p>
        </w:tc>
        <w:tc>
          <w:tcPr>
            <w:tcW w:w="1275" w:type="dxa"/>
            <w:shd w:val="clear" w:color="auto" w:fill="auto"/>
          </w:tcPr>
          <w:p w:rsidR="00673ED8" w:rsidRPr="0085625E" w:rsidRDefault="00673ED8" w:rsidP="00CF7010">
            <w:pPr>
              <w:autoSpaceDE w:val="0"/>
              <w:autoSpaceDN w:val="0"/>
              <w:adjustRightInd w:val="0"/>
              <w:rPr>
                <w:rFonts w:asciiTheme="minorHAnsi" w:hAnsiTheme="minorHAnsi" w:cstheme="minorHAnsi"/>
                <w:sz w:val="22"/>
                <w:szCs w:val="22"/>
                <w:lang w:eastAsia="en-AU"/>
              </w:rPr>
            </w:pPr>
            <w:r w:rsidRPr="0085625E">
              <w:rPr>
                <w:rFonts w:asciiTheme="minorHAnsi" w:hAnsiTheme="minorHAnsi" w:cstheme="minorHAnsi"/>
                <w:sz w:val="22"/>
                <w:szCs w:val="22"/>
                <w:lang w:eastAsia="en-AU"/>
              </w:rPr>
              <w:t>$92,724</w:t>
            </w:r>
          </w:p>
          <w:p w:rsidR="00673ED8" w:rsidRPr="0085625E" w:rsidRDefault="00673ED8" w:rsidP="00CF7010">
            <w:pPr>
              <w:autoSpaceDE w:val="0"/>
              <w:autoSpaceDN w:val="0"/>
              <w:adjustRightInd w:val="0"/>
              <w:rPr>
                <w:rFonts w:asciiTheme="minorHAnsi" w:hAnsiTheme="minorHAnsi" w:cstheme="minorHAnsi"/>
                <w:b/>
                <w:bCs/>
                <w:sz w:val="22"/>
                <w:szCs w:val="22"/>
                <w:lang w:eastAsia="en-AU"/>
              </w:rPr>
            </w:pPr>
          </w:p>
        </w:tc>
      </w:tr>
      <w:tr w:rsidR="00673ED8" w:rsidRPr="0085625E" w:rsidTr="0085625E">
        <w:trPr>
          <w:jc w:val="center"/>
        </w:trPr>
        <w:tc>
          <w:tcPr>
            <w:tcW w:w="3510" w:type="dxa"/>
            <w:shd w:val="clear" w:color="auto" w:fill="auto"/>
          </w:tcPr>
          <w:p w:rsidR="00673ED8" w:rsidRPr="0085625E" w:rsidRDefault="00673ED8" w:rsidP="00CF7010">
            <w:pPr>
              <w:autoSpaceDE w:val="0"/>
              <w:autoSpaceDN w:val="0"/>
              <w:adjustRightInd w:val="0"/>
              <w:rPr>
                <w:rFonts w:asciiTheme="minorHAnsi" w:hAnsiTheme="minorHAnsi" w:cstheme="minorHAnsi"/>
                <w:b/>
                <w:bCs/>
                <w:sz w:val="22"/>
                <w:szCs w:val="22"/>
                <w:lang w:eastAsia="en-AU"/>
              </w:rPr>
            </w:pPr>
            <w:r w:rsidRPr="0085625E">
              <w:rPr>
                <w:rFonts w:asciiTheme="minorHAnsi" w:hAnsiTheme="minorHAnsi" w:cstheme="minorHAnsi"/>
                <w:sz w:val="22"/>
                <w:szCs w:val="22"/>
                <w:lang w:eastAsia="en-AU"/>
              </w:rPr>
              <w:t>New South Wales</w:t>
            </w:r>
          </w:p>
        </w:tc>
        <w:tc>
          <w:tcPr>
            <w:tcW w:w="4111" w:type="dxa"/>
            <w:shd w:val="clear" w:color="auto" w:fill="auto"/>
          </w:tcPr>
          <w:p w:rsidR="00673ED8" w:rsidRPr="0085625E" w:rsidRDefault="00673ED8" w:rsidP="00CF7010">
            <w:pPr>
              <w:autoSpaceDE w:val="0"/>
              <w:autoSpaceDN w:val="0"/>
              <w:adjustRightInd w:val="0"/>
              <w:rPr>
                <w:rFonts w:asciiTheme="minorHAnsi" w:hAnsiTheme="minorHAnsi" w:cstheme="minorHAnsi"/>
                <w:b/>
                <w:bCs/>
                <w:sz w:val="22"/>
                <w:szCs w:val="22"/>
                <w:lang w:eastAsia="en-AU"/>
              </w:rPr>
            </w:pPr>
            <w:r w:rsidRPr="0085625E">
              <w:rPr>
                <w:rFonts w:asciiTheme="minorHAnsi" w:hAnsiTheme="minorHAnsi" w:cstheme="minorHAnsi"/>
                <w:sz w:val="22"/>
                <w:szCs w:val="22"/>
                <w:lang w:eastAsia="en-AU"/>
              </w:rPr>
              <w:t>Welfare Rights Centre</w:t>
            </w:r>
          </w:p>
        </w:tc>
        <w:tc>
          <w:tcPr>
            <w:tcW w:w="1275" w:type="dxa"/>
            <w:shd w:val="clear" w:color="auto" w:fill="auto"/>
          </w:tcPr>
          <w:p w:rsidR="00673ED8" w:rsidRPr="0085625E" w:rsidRDefault="00673ED8" w:rsidP="00CF7010">
            <w:pPr>
              <w:autoSpaceDE w:val="0"/>
              <w:autoSpaceDN w:val="0"/>
              <w:adjustRightInd w:val="0"/>
              <w:rPr>
                <w:rFonts w:asciiTheme="minorHAnsi" w:hAnsiTheme="minorHAnsi" w:cstheme="minorHAnsi"/>
                <w:sz w:val="22"/>
                <w:szCs w:val="22"/>
                <w:lang w:eastAsia="en-AU"/>
              </w:rPr>
            </w:pPr>
            <w:r w:rsidRPr="0085625E">
              <w:rPr>
                <w:rFonts w:asciiTheme="minorHAnsi" w:hAnsiTheme="minorHAnsi" w:cstheme="minorHAnsi"/>
                <w:sz w:val="22"/>
                <w:szCs w:val="22"/>
                <w:lang w:eastAsia="en-AU"/>
              </w:rPr>
              <w:t>$231,199</w:t>
            </w:r>
          </w:p>
          <w:p w:rsidR="00673ED8" w:rsidRPr="0085625E" w:rsidRDefault="00673ED8" w:rsidP="00CF7010">
            <w:pPr>
              <w:autoSpaceDE w:val="0"/>
              <w:autoSpaceDN w:val="0"/>
              <w:adjustRightInd w:val="0"/>
              <w:rPr>
                <w:rFonts w:asciiTheme="minorHAnsi" w:hAnsiTheme="minorHAnsi" w:cstheme="minorHAnsi"/>
                <w:b/>
                <w:bCs/>
                <w:sz w:val="22"/>
                <w:szCs w:val="22"/>
                <w:lang w:eastAsia="en-AU"/>
              </w:rPr>
            </w:pPr>
          </w:p>
        </w:tc>
      </w:tr>
      <w:tr w:rsidR="00673ED8" w:rsidRPr="0085625E" w:rsidTr="0085625E">
        <w:trPr>
          <w:jc w:val="center"/>
        </w:trPr>
        <w:tc>
          <w:tcPr>
            <w:tcW w:w="3510" w:type="dxa"/>
            <w:shd w:val="clear" w:color="auto" w:fill="auto"/>
          </w:tcPr>
          <w:p w:rsidR="00673ED8" w:rsidRPr="0085625E" w:rsidRDefault="00673ED8" w:rsidP="00CF7010">
            <w:pPr>
              <w:autoSpaceDE w:val="0"/>
              <w:autoSpaceDN w:val="0"/>
              <w:adjustRightInd w:val="0"/>
              <w:rPr>
                <w:rFonts w:asciiTheme="minorHAnsi" w:hAnsiTheme="minorHAnsi" w:cstheme="minorHAnsi"/>
                <w:b/>
                <w:bCs/>
                <w:sz w:val="22"/>
                <w:szCs w:val="22"/>
                <w:lang w:eastAsia="en-AU"/>
              </w:rPr>
            </w:pPr>
            <w:r w:rsidRPr="0085625E">
              <w:rPr>
                <w:rFonts w:asciiTheme="minorHAnsi" w:hAnsiTheme="minorHAnsi" w:cstheme="minorHAnsi"/>
                <w:sz w:val="22"/>
                <w:szCs w:val="22"/>
                <w:lang w:eastAsia="en-AU"/>
              </w:rPr>
              <w:t>Northern Territory</w:t>
            </w:r>
          </w:p>
        </w:tc>
        <w:tc>
          <w:tcPr>
            <w:tcW w:w="4111" w:type="dxa"/>
            <w:shd w:val="clear" w:color="auto" w:fill="auto"/>
          </w:tcPr>
          <w:p w:rsidR="00673ED8" w:rsidRPr="0085625E" w:rsidRDefault="00673ED8" w:rsidP="00CF7010">
            <w:pPr>
              <w:autoSpaceDE w:val="0"/>
              <w:autoSpaceDN w:val="0"/>
              <w:adjustRightInd w:val="0"/>
              <w:rPr>
                <w:rFonts w:asciiTheme="minorHAnsi" w:hAnsiTheme="minorHAnsi" w:cstheme="minorHAnsi"/>
                <w:b/>
                <w:bCs/>
                <w:sz w:val="22"/>
                <w:szCs w:val="22"/>
                <w:lang w:eastAsia="en-AU"/>
              </w:rPr>
            </w:pPr>
            <w:r w:rsidRPr="0085625E">
              <w:rPr>
                <w:rFonts w:asciiTheme="minorHAnsi" w:hAnsiTheme="minorHAnsi" w:cstheme="minorHAnsi"/>
                <w:sz w:val="22"/>
                <w:szCs w:val="22"/>
                <w:lang w:eastAsia="en-AU"/>
              </w:rPr>
              <w:t>Darwin Community Legal Service</w:t>
            </w:r>
          </w:p>
        </w:tc>
        <w:tc>
          <w:tcPr>
            <w:tcW w:w="1275" w:type="dxa"/>
            <w:shd w:val="clear" w:color="auto" w:fill="auto"/>
          </w:tcPr>
          <w:p w:rsidR="00673ED8" w:rsidRPr="0085625E" w:rsidRDefault="00673ED8" w:rsidP="00CF7010">
            <w:pPr>
              <w:autoSpaceDE w:val="0"/>
              <w:autoSpaceDN w:val="0"/>
              <w:adjustRightInd w:val="0"/>
              <w:rPr>
                <w:rFonts w:asciiTheme="minorHAnsi" w:hAnsiTheme="minorHAnsi" w:cstheme="minorHAnsi"/>
                <w:sz w:val="22"/>
                <w:szCs w:val="22"/>
                <w:lang w:eastAsia="en-AU"/>
              </w:rPr>
            </w:pPr>
            <w:r w:rsidRPr="0085625E">
              <w:rPr>
                <w:rFonts w:asciiTheme="minorHAnsi" w:hAnsiTheme="minorHAnsi" w:cstheme="minorHAnsi"/>
                <w:sz w:val="22"/>
                <w:szCs w:val="22"/>
                <w:lang w:eastAsia="en-AU"/>
              </w:rPr>
              <w:t>$61,872</w:t>
            </w:r>
          </w:p>
          <w:p w:rsidR="00673ED8" w:rsidRPr="0085625E" w:rsidRDefault="00673ED8" w:rsidP="00CF7010">
            <w:pPr>
              <w:autoSpaceDE w:val="0"/>
              <w:autoSpaceDN w:val="0"/>
              <w:adjustRightInd w:val="0"/>
              <w:rPr>
                <w:rFonts w:asciiTheme="minorHAnsi" w:hAnsiTheme="minorHAnsi" w:cstheme="minorHAnsi"/>
                <w:b/>
                <w:bCs/>
                <w:sz w:val="22"/>
                <w:szCs w:val="22"/>
                <w:lang w:eastAsia="en-AU"/>
              </w:rPr>
            </w:pPr>
          </w:p>
        </w:tc>
      </w:tr>
      <w:tr w:rsidR="00673ED8" w:rsidRPr="0085625E" w:rsidTr="0085625E">
        <w:trPr>
          <w:jc w:val="center"/>
        </w:trPr>
        <w:tc>
          <w:tcPr>
            <w:tcW w:w="3510" w:type="dxa"/>
            <w:shd w:val="clear" w:color="auto" w:fill="auto"/>
          </w:tcPr>
          <w:p w:rsidR="00673ED8" w:rsidRPr="0085625E" w:rsidRDefault="00673ED8" w:rsidP="00CF7010">
            <w:pPr>
              <w:autoSpaceDE w:val="0"/>
              <w:autoSpaceDN w:val="0"/>
              <w:adjustRightInd w:val="0"/>
              <w:rPr>
                <w:rFonts w:asciiTheme="minorHAnsi" w:hAnsiTheme="minorHAnsi" w:cstheme="minorHAnsi"/>
                <w:sz w:val="22"/>
                <w:szCs w:val="22"/>
                <w:lang w:eastAsia="en-AU"/>
              </w:rPr>
            </w:pPr>
            <w:r w:rsidRPr="0085625E">
              <w:rPr>
                <w:rFonts w:asciiTheme="minorHAnsi" w:hAnsiTheme="minorHAnsi" w:cstheme="minorHAnsi"/>
                <w:sz w:val="22"/>
                <w:szCs w:val="22"/>
                <w:lang w:eastAsia="en-AU"/>
              </w:rPr>
              <w:t>Queensland</w:t>
            </w:r>
          </w:p>
        </w:tc>
        <w:tc>
          <w:tcPr>
            <w:tcW w:w="4111" w:type="dxa"/>
            <w:shd w:val="clear" w:color="auto" w:fill="auto"/>
          </w:tcPr>
          <w:p w:rsidR="00673ED8" w:rsidRPr="0085625E" w:rsidRDefault="00673ED8" w:rsidP="00CF7010">
            <w:pPr>
              <w:autoSpaceDE w:val="0"/>
              <w:autoSpaceDN w:val="0"/>
              <w:adjustRightInd w:val="0"/>
              <w:rPr>
                <w:rFonts w:asciiTheme="minorHAnsi" w:hAnsiTheme="minorHAnsi" w:cstheme="minorHAnsi"/>
                <w:sz w:val="22"/>
                <w:szCs w:val="22"/>
                <w:lang w:eastAsia="en-AU"/>
              </w:rPr>
            </w:pPr>
            <w:r w:rsidRPr="0085625E">
              <w:rPr>
                <w:rFonts w:asciiTheme="minorHAnsi" w:hAnsiTheme="minorHAnsi" w:cstheme="minorHAnsi"/>
                <w:sz w:val="22"/>
                <w:szCs w:val="22"/>
                <w:lang w:eastAsia="en-AU"/>
              </w:rPr>
              <w:t>Welfare Rights Centre, Brisbane</w:t>
            </w:r>
          </w:p>
        </w:tc>
        <w:tc>
          <w:tcPr>
            <w:tcW w:w="1275" w:type="dxa"/>
            <w:shd w:val="clear" w:color="auto" w:fill="auto"/>
          </w:tcPr>
          <w:p w:rsidR="00673ED8" w:rsidRPr="0085625E" w:rsidRDefault="00673ED8" w:rsidP="00CF7010">
            <w:pPr>
              <w:autoSpaceDE w:val="0"/>
              <w:autoSpaceDN w:val="0"/>
              <w:adjustRightInd w:val="0"/>
              <w:rPr>
                <w:rFonts w:asciiTheme="minorHAnsi" w:hAnsiTheme="minorHAnsi" w:cstheme="minorHAnsi"/>
                <w:sz w:val="22"/>
                <w:szCs w:val="22"/>
                <w:lang w:eastAsia="en-AU"/>
              </w:rPr>
            </w:pPr>
            <w:r w:rsidRPr="0085625E">
              <w:rPr>
                <w:rFonts w:asciiTheme="minorHAnsi" w:hAnsiTheme="minorHAnsi" w:cstheme="minorHAnsi"/>
                <w:sz w:val="22"/>
                <w:szCs w:val="22"/>
                <w:lang w:eastAsia="en-AU"/>
              </w:rPr>
              <w:t>$182,046</w:t>
            </w:r>
          </w:p>
          <w:p w:rsidR="00673ED8" w:rsidRPr="0085625E" w:rsidRDefault="00673ED8" w:rsidP="00CF7010">
            <w:pPr>
              <w:autoSpaceDE w:val="0"/>
              <w:autoSpaceDN w:val="0"/>
              <w:adjustRightInd w:val="0"/>
              <w:rPr>
                <w:rFonts w:asciiTheme="minorHAnsi" w:hAnsiTheme="minorHAnsi" w:cstheme="minorHAnsi"/>
                <w:sz w:val="22"/>
                <w:szCs w:val="22"/>
                <w:lang w:eastAsia="en-AU"/>
              </w:rPr>
            </w:pPr>
          </w:p>
        </w:tc>
      </w:tr>
      <w:tr w:rsidR="00673ED8" w:rsidRPr="0085625E" w:rsidTr="0085625E">
        <w:trPr>
          <w:jc w:val="center"/>
        </w:trPr>
        <w:tc>
          <w:tcPr>
            <w:tcW w:w="3510" w:type="dxa"/>
            <w:shd w:val="clear" w:color="auto" w:fill="auto"/>
          </w:tcPr>
          <w:p w:rsidR="00673ED8" w:rsidRPr="0085625E" w:rsidRDefault="00673ED8" w:rsidP="00CF7010">
            <w:pPr>
              <w:autoSpaceDE w:val="0"/>
              <w:autoSpaceDN w:val="0"/>
              <w:adjustRightInd w:val="0"/>
              <w:rPr>
                <w:rFonts w:asciiTheme="minorHAnsi" w:hAnsiTheme="minorHAnsi" w:cstheme="minorHAnsi"/>
                <w:sz w:val="22"/>
                <w:szCs w:val="22"/>
                <w:lang w:eastAsia="en-AU"/>
              </w:rPr>
            </w:pPr>
            <w:r w:rsidRPr="0085625E">
              <w:rPr>
                <w:rFonts w:asciiTheme="minorHAnsi" w:hAnsiTheme="minorHAnsi" w:cstheme="minorHAnsi"/>
                <w:sz w:val="22"/>
                <w:szCs w:val="22"/>
                <w:lang w:eastAsia="en-AU"/>
              </w:rPr>
              <w:t>Queensland</w:t>
            </w:r>
          </w:p>
        </w:tc>
        <w:tc>
          <w:tcPr>
            <w:tcW w:w="4111" w:type="dxa"/>
            <w:shd w:val="clear" w:color="auto" w:fill="auto"/>
          </w:tcPr>
          <w:p w:rsidR="00673ED8" w:rsidRPr="0085625E" w:rsidRDefault="00673ED8" w:rsidP="00CF7010">
            <w:pPr>
              <w:autoSpaceDE w:val="0"/>
              <w:autoSpaceDN w:val="0"/>
              <w:adjustRightInd w:val="0"/>
              <w:rPr>
                <w:rFonts w:asciiTheme="minorHAnsi" w:hAnsiTheme="minorHAnsi" w:cstheme="minorHAnsi"/>
                <w:sz w:val="22"/>
                <w:szCs w:val="22"/>
                <w:lang w:eastAsia="en-AU"/>
              </w:rPr>
            </w:pPr>
            <w:r w:rsidRPr="0085625E">
              <w:rPr>
                <w:rFonts w:asciiTheme="minorHAnsi" w:hAnsiTheme="minorHAnsi" w:cstheme="minorHAnsi"/>
                <w:sz w:val="22"/>
                <w:szCs w:val="22"/>
                <w:lang w:eastAsia="en-AU"/>
              </w:rPr>
              <w:t>Townsville Community Legal Service</w:t>
            </w:r>
          </w:p>
        </w:tc>
        <w:tc>
          <w:tcPr>
            <w:tcW w:w="1275" w:type="dxa"/>
            <w:shd w:val="clear" w:color="auto" w:fill="auto"/>
          </w:tcPr>
          <w:p w:rsidR="00673ED8" w:rsidRPr="0085625E" w:rsidRDefault="00673ED8" w:rsidP="00CF7010">
            <w:pPr>
              <w:autoSpaceDE w:val="0"/>
              <w:autoSpaceDN w:val="0"/>
              <w:adjustRightInd w:val="0"/>
              <w:rPr>
                <w:rFonts w:asciiTheme="minorHAnsi" w:hAnsiTheme="minorHAnsi" w:cstheme="minorHAnsi"/>
                <w:sz w:val="22"/>
                <w:szCs w:val="22"/>
                <w:lang w:eastAsia="en-AU"/>
              </w:rPr>
            </w:pPr>
            <w:r w:rsidRPr="0085625E">
              <w:rPr>
                <w:rFonts w:asciiTheme="minorHAnsi" w:hAnsiTheme="minorHAnsi" w:cstheme="minorHAnsi"/>
                <w:sz w:val="22"/>
                <w:szCs w:val="22"/>
                <w:lang w:eastAsia="en-AU"/>
              </w:rPr>
              <w:t>$70,203</w:t>
            </w:r>
          </w:p>
          <w:p w:rsidR="00673ED8" w:rsidRPr="0085625E" w:rsidRDefault="00673ED8" w:rsidP="00CF7010">
            <w:pPr>
              <w:autoSpaceDE w:val="0"/>
              <w:autoSpaceDN w:val="0"/>
              <w:adjustRightInd w:val="0"/>
              <w:rPr>
                <w:rFonts w:asciiTheme="minorHAnsi" w:hAnsiTheme="minorHAnsi" w:cstheme="minorHAnsi"/>
                <w:sz w:val="22"/>
                <w:szCs w:val="22"/>
                <w:lang w:eastAsia="en-AU"/>
              </w:rPr>
            </w:pPr>
          </w:p>
        </w:tc>
      </w:tr>
      <w:tr w:rsidR="00964DB2" w:rsidRPr="0085625E" w:rsidTr="0085625E">
        <w:trPr>
          <w:jc w:val="center"/>
        </w:trPr>
        <w:tc>
          <w:tcPr>
            <w:tcW w:w="3510" w:type="dxa"/>
            <w:shd w:val="clear" w:color="auto" w:fill="auto"/>
          </w:tcPr>
          <w:p w:rsidR="00964DB2" w:rsidRPr="0085625E" w:rsidRDefault="00964DB2" w:rsidP="00CF7010">
            <w:pPr>
              <w:autoSpaceDE w:val="0"/>
              <w:autoSpaceDN w:val="0"/>
              <w:adjustRightInd w:val="0"/>
              <w:rPr>
                <w:rFonts w:asciiTheme="minorHAnsi" w:hAnsiTheme="minorHAnsi" w:cstheme="minorHAnsi"/>
                <w:b/>
                <w:bCs/>
                <w:sz w:val="22"/>
                <w:szCs w:val="22"/>
                <w:lang w:eastAsia="en-AU"/>
              </w:rPr>
            </w:pPr>
            <w:r w:rsidRPr="0085625E">
              <w:rPr>
                <w:rFonts w:asciiTheme="minorHAnsi" w:hAnsiTheme="minorHAnsi" w:cstheme="minorHAnsi"/>
                <w:sz w:val="22"/>
                <w:szCs w:val="22"/>
                <w:lang w:eastAsia="en-AU"/>
              </w:rPr>
              <w:t>South Australia</w:t>
            </w:r>
          </w:p>
        </w:tc>
        <w:tc>
          <w:tcPr>
            <w:tcW w:w="4111" w:type="dxa"/>
            <w:shd w:val="clear" w:color="auto" w:fill="auto"/>
          </w:tcPr>
          <w:p w:rsidR="00964DB2" w:rsidRPr="0085625E" w:rsidRDefault="00964DB2" w:rsidP="00CF7010">
            <w:pPr>
              <w:autoSpaceDE w:val="0"/>
              <w:autoSpaceDN w:val="0"/>
              <w:adjustRightInd w:val="0"/>
              <w:rPr>
                <w:rFonts w:asciiTheme="minorHAnsi" w:hAnsiTheme="minorHAnsi" w:cstheme="minorHAnsi"/>
                <w:b/>
                <w:bCs/>
                <w:sz w:val="22"/>
                <w:szCs w:val="22"/>
                <w:lang w:eastAsia="en-AU"/>
              </w:rPr>
            </w:pPr>
            <w:r w:rsidRPr="0085625E">
              <w:rPr>
                <w:rFonts w:asciiTheme="minorHAnsi" w:hAnsiTheme="minorHAnsi" w:cstheme="minorHAnsi"/>
                <w:sz w:val="22"/>
                <w:szCs w:val="22"/>
                <w:lang w:eastAsia="en-AU"/>
              </w:rPr>
              <w:t>Welfare Rights Centre (SA)</w:t>
            </w:r>
          </w:p>
        </w:tc>
        <w:tc>
          <w:tcPr>
            <w:tcW w:w="1275" w:type="dxa"/>
            <w:shd w:val="clear" w:color="auto" w:fill="auto"/>
          </w:tcPr>
          <w:p w:rsidR="00964DB2" w:rsidRPr="0085625E" w:rsidRDefault="00964DB2" w:rsidP="00CF7010">
            <w:pPr>
              <w:autoSpaceDE w:val="0"/>
              <w:autoSpaceDN w:val="0"/>
              <w:adjustRightInd w:val="0"/>
              <w:rPr>
                <w:rFonts w:asciiTheme="minorHAnsi" w:hAnsiTheme="minorHAnsi" w:cstheme="minorHAnsi"/>
                <w:sz w:val="22"/>
                <w:szCs w:val="22"/>
                <w:lang w:eastAsia="en-AU"/>
              </w:rPr>
            </w:pPr>
            <w:r w:rsidRPr="0085625E">
              <w:rPr>
                <w:rFonts w:asciiTheme="minorHAnsi" w:hAnsiTheme="minorHAnsi" w:cstheme="minorHAnsi"/>
                <w:sz w:val="22"/>
                <w:szCs w:val="22"/>
                <w:lang w:eastAsia="en-AU"/>
              </w:rPr>
              <w:t>$194,010</w:t>
            </w:r>
          </w:p>
          <w:p w:rsidR="00964DB2" w:rsidRPr="0085625E" w:rsidRDefault="00964DB2" w:rsidP="00CF7010">
            <w:pPr>
              <w:autoSpaceDE w:val="0"/>
              <w:autoSpaceDN w:val="0"/>
              <w:adjustRightInd w:val="0"/>
              <w:rPr>
                <w:rFonts w:asciiTheme="minorHAnsi" w:hAnsiTheme="minorHAnsi" w:cstheme="minorHAnsi"/>
                <w:b/>
                <w:bCs/>
                <w:sz w:val="22"/>
                <w:szCs w:val="22"/>
                <w:lang w:eastAsia="en-AU"/>
              </w:rPr>
            </w:pPr>
          </w:p>
        </w:tc>
      </w:tr>
      <w:tr w:rsidR="00964DB2" w:rsidRPr="0085625E" w:rsidTr="0085625E">
        <w:trPr>
          <w:jc w:val="center"/>
        </w:trPr>
        <w:tc>
          <w:tcPr>
            <w:tcW w:w="3510" w:type="dxa"/>
            <w:shd w:val="clear" w:color="auto" w:fill="auto"/>
          </w:tcPr>
          <w:p w:rsidR="00964DB2" w:rsidRPr="0085625E" w:rsidRDefault="00964DB2" w:rsidP="00CF7010">
            <w:pPr>
              <w:autoSpaceDE w:val="0"/>
              <w:autoSpaceDN w:val="0"/>
              <w:adjustRightInd w:val="0"/>
              <w:rPr>
                <w:rFonts w:asciiTheme="minorHAnsi" w:hAnsiTheme="minorHAnsi" w:cstheme="minorHAnsi"/>
                <w:sz w:val="22"/>
                <w:szCs w:val="22"/>
                <w:lang w:eastAsia="en-AU"/>
              </w:rPr>
            </w:pPr>
            <w:r w:rsidRPr="0085625E">
              <w:rPr>
                <w:rFonts w:asciiTheme="minorHAnsi" w:hAnsiTheme="minorHAnsi" w:cstheme="minorHAnsi"/>
                <w:sz w:val="22"/>
                <w:szCs w:val="22"/>
                <w:lang w:eastAsia="en-AU"/>
              </w:rPr>
              <w:t>Tasmania</w:t>
            </w:r>
          </w:p>
        </w:tc>
        <w:tc>
          <w:tcPr>
            <w:tcW w:w="4111" w:type="dxa"/>
            <w:shd w:val="clear" w:color="auto" w:fill="auto"/>
          </w:tcPr>
          <w:p w:rsidR="00964DB2" w:rsidRPr="0085625E" w:rsidRDefault="00964DB2" w:rsidP="00CF7010">
            <w:pPr>
              <w:autoSpaceDE w:val="0"/>
              <w:autoSpaceDN w:val="0"/>
              <w:adjustRightInd w:val="0"/>
              <w:rPr>
                <w:rFonts w:asciiTheme="minorHAnsi" w:hAnsiTheme="minorHAnsi" w:cstheme="minorHAnsi"/>
                <w:sz w:val="22"/>
                <w:szCs w:val="22"/>
                <w:lang w:eastAsia="en-AU"/>
              </w:rPr>
            </w:pPr>
            <w:r w:rsidRPr="0085625E">
              <w:rPr>
                <w:rFonts w:asciiTheme="minorHAnsi" w:hAnsiTheme="minorHAnsi" w:cstheme="minorHAnsi"/>
                <w:sz w:val="22"/>
                <w:szCs w:val="22"/>
                <w:lang w:eastAsia="en-AU"/>
              </w:rPr>
              <w:t>Hobart Community Legal Service</w:t>
            </w:r>
          </w:p>
        </w:tc>
        <w:tc>
          <w:tcPr>
            <w:tcW w:w="1275" w:type="dxa"/>
            <w:shd w:val="clear" w:color="auto" w:fill="auto"/>
          </w:tcPr>
          <w:p w:rsidR="00964DB2" w:rsidRPr="0085625E" w:rsidRDefault="00964DB2" w:rsidP="00CF7010">
            <w:pPr>
              <w:autoSpaceDE w:val="0"/>
              <w:autoSpaceDN w:val="0"/>
              <w:adjustRightInd w:val="0"/>
              <w:rPr>
                <w:rFonts w:asciiTheme="minorHAnsi" w:hAnsiTheme="minorHAnsi" w:cstheme="minorHAnsi"/>
                <w:sz w:val="22"/>
                <w:szCs w:val="22"/>
                <w:lang w:eastAsia="en-AU"/>
              </w:rPr>
            </w:pPr>
            <w:r w:rsidRPr="0085625E">
              <w:rPr>
                <w:rFonts w:asciiTheme="minorHAnsi" w:hAnsiTheme="minorHAnsi" w:cstheme="minorHAnsi"/>
                <w:sz w:val="22"/>
                <w:szCs w:val="22"/>
                <w:lang w:eastAsia="en-AU"/>
              </w:rPr>
              <w:t>$61,364</w:t>
            </w:r>
          </w:p>
          <w:p w:rsidR="00964DB2" w:rsidRPr="0085625E" w:rsidRDefault="00964DB2" w:rsidP="00CF7010">
            <w:pPr>
              <w:autoSpaceDE w:val="0"/>
              <w:autoSpaceDN w:val="0"/>
              <w:adjustRightInd w:val="0"/>
              <w:rPr>
                <w:rFonts w:asciiTheme="minorHAnsi" w:hAnsiTheme="minorHAnsi" w:cstheme="minorHAnsi"/>
                <w:sz w:val="22"/>
                <w:szCs w:val="22"/>
                <w:lang w:eastAsia="en-AU"/>
              </w:rPr>
            </w:pPr>
          </w:p>
        </w:tc>
      </w:tr>
      <w:tr w:rsidR="00964DB2" w:rsidRPr="0085625E" w:rsidTr="0085625E">
        <w:trPr>
          <w:jc w:val="center"/>
        </w:trPr>
        <w:tc>
          <w:tcPr>
            <w:tcW w:w="3510" w:type="dxa"/>
            <w:shd w:val="clear" w:color="auto" w:fill="auto"/>
          </w:tcPr>
          <w:p w:rsidR="00964DB2" w:rsidRPr="0085625E" w:rsidRDefault="00964DB2" w:rsidP="00CF7010">
            <w:pPr>
              <w:autoSpaceDE w:val="0"/>
              <w:autoSpaceDN w:val="0"/>
              <w:adjustRightInd w:val="0"/>
              <w:rPr>
                <w:rFonts w:asciiTheme="minorHAnsi" w:hAnsiTheme="minorHAnsi" w:cstheme="minorHAnsi"/>
                <w:sz w:val="22"/>
                <w:szCs w:val="22"/>
                <w:lang w:eastAsia="en-AU"/>
              </w:rPr>
            </w:pPr>
            <w:r w:rsidRPr="0085625E">
              <w:rPr>
                <w:rFonts w:asciiTheme="minorHAnsi" w:hAnsiTheme="minorHAnsi" w:cstheme="minorHAnsi"/>
                <w:sz w:val="22"/>
                <w:szCs w:val="22"/>
                <w:lang w:eastAsia="en-AU"/>
              </w:rPr>
              <w:t>Tasmania</w:t>
            </w:r>
          </w:p>
        </w:tc>
        <w:tc>
          <w:tcPr>
            <w:tcW w:w="4111" w:type="dxa"/>
            <w:shd w:val="clear" w:color="auto" w:fill="auto"/>
          </w:tcPr>
          <w:p w:rsidR="00964DB2" w:rsidRPr="0085625E" w:rsidRDefault="00964DB2" w:rsidP="00CF7010">
            <w:pPr>
              <w:autoSpaceDE w:val="0"/>
              <w:autoSpaceDN w:val="0"/>
              <w:adjustRightInd w:val="0"/>
              <w:rPr>
                <w:rFonts w:asciiTheme="minorHAnsi" w:hAnsiTheme="minorHAnsi" w:cstheme="minorHAnsi"/>
                <w:sz w:val="22"/>
                <w:szCs w:val="22"/>
                <w:lang w:eastAsia="en-AU"/>
              </w:rPr>
            </w:pPr>
            <w:r w:rsidRPr="0085625E">
              <w:rPr>
                <w:rFonts w:asciiTheme="minorHAnsi" w:hAnsiTheme="minorHAnsi" w:cstheme="minorHAnsi"/>
                <w:sz w:val="22"/>
                <w:szCs w:val="22"/>
                <w:lang w:eastAsia="en-AU"/>
              </w:rPr>
              <w:t>Launceston Community Legal Service</w:t>
            </w:r>
          </w:p>
        </w:tc>
        <w:tc>
          <w:tcPr>
            <w:tcW w:w="1275" w:type="dxa"/>
            <w:shd w:val="clear" w:color="auto" w:fill="auto"/>
          </w:tcPr>
          <w:p w:rsidR="00964DB2" w:rsidRPr="0085625E" w:rsidRDefault="00964DB2" w:rsidP="00CF7010">
            <w:pPr>
              <w:autoSpaceDE w:val="0"/>
              <w:autoSpaceDN w:val="0"/>
              <w:adjustRightInd w:val="0"/>
              <w:rPr>
                <w:rFonts w:asciiTheme="minorHAnsi" w:hAnsiTheme="minorHAnsi" w:cstheme="minorHAnsi"/>
                <w:sz w:val="22"/>
                <w:szCs w:val="22"/>
                <w:lang w:eastAsia="en-AU"/>
              </w:rPr>
            </w:pPr>
            <w:r w:rsidRPr="0085625E">
              <w:rPr>
                <w:rFonts w:asciiTheme="minorHAnsi" w:hAnsiTheme="minorHAnsi" w:cstheme="minorHAnsi"/>
                <w:sz w:val="22"/>
                <w:szCs w:val="22"/>
                <w:lang w:eastAsia="en-AU"/>
              </w:rPr>
              <w:t>$62,236</w:t>
            </w:r>
          </w:p>
          <w:p w:rsidR="00964DB2" w:rsidRPr="0085625E" w:rsidRDefault="00964DB2" w:rsidP="00CF7010">
            <w:pPr>
              <w:autoSpaceDE w:val="0"/>
              <w:autoSpaceDN w:val="0"/>
              <w:adjustRightInd w:val="0"/>
              <w:rPr>
                <w:rFonts w:asciiTheme="minorHAnsi" w:hAnsiTheme="minorHAnsi" w:cstheme="minorHAnsi"/>
                <w:sz w:val="22"/>
                <w:szCs w:val="22"/>
                <w:lang w:eastAsia="en-AU"/>
              </w:rPr>
            </w:pPr>
          </w:p>
        </w:tc>
      </w:tr>
      <w:tr w:rsidR="00673ED8" w:rsidRPr="0085625E" w:rsidTr="0085625E">
        <w:trPr>
          <w:jc w:val="center"/>
        </w:trPr>
        <w:tc>
          <w:tcPr>
            <w:tcW w:w="3510" w:type="dxa"/>
            <w:shd w:val="clear" w:color="auto" w:fill="auto"/>
          </w:tcPr>
          <w:p w:rsidR="00673ED8" w:rsidRPr="0085625E" w:rsidRDefault="00673ED8" w:rsidP="00CF7010">
            <w:pPr>
              <w:autoSpaceDE w:val="0"/>
              <w:autoSpaceDN w:val="0"/>
              <w:adjustRightInd w:val="0"/>
              <w:rPr>
                <w:rFonts w:asciiTheme="minorHAnsi" w:hAnsiTheme="minorHAnsi" w:cstheme="minorHAnsi"/>
                <w:b/>
                <w:bCs/>
                <w:sz w:val="22"/>
                <w:szCs w:val="22"/>
                <w:lang w:eastAsia="en-AU"/>
              </w:rPr>
            </w:pPr>
            <w:r w:rsidRPr="0085625E">
              <w:rPr>
                <w:rFonts w:asciiTheme="minorHAnsi" w:hAnsiTheme="minorHAnsi" w:cstheme="minorHAnsi"/>
                <w:sz w:val="22"/>
                <w:szCs w:val="22"/>
                <w:lang w:eastAsia="en-AU"/>
              </w:rPr>
              <w:t>Victoria</w:t>
            </w:r>
          </w:p>
        </w:tc>
        <w:tc>
          <w:tcPr>
            <w:tcW w:w="4111" w:type="dxa"/>
            <w:shd w:val="clear" w:color="auto" w:fill="auto"/>
          </w:tcPr>
          <w:p w:rsidR="00673ED8" w:rsidRPr="0085625E" w:rsidRDefault="00673ED8" w:rsidP="00CF7010">
            <w:pPr>
              <w:autoSpaceDE w:val="0"/>
              <w:autoSpaceDN w:val="0"/>
              <w:adjustRightInd w:val="0"/>
              <w:rPr>
                <w:rFonts w:asciiTheme="minorHAnsi" w:hAnsiTheme="minorHAnsi" w:cstheme="minorHAnsi"/>
                <w:b/>
                <w:bCs/>
                <w:sz w:val="22"/>
                <w:szCs w:val="22"/>
                <w:lang w:eastAsia="en-AU"/>
              </w:rPr>
            </w:pPr>
            <w:r w:rsidRPr="0085625E">
              <w:rPr>
                <w:rFonts w:asciiTheme="minorHAnsi" w:hAnsiTheme="minorHAnsi" w:cstheme="minorHAnsi"/>
                <w:sz w:val="22"/>
                <w:szCs w:val="22"/>
                <w:lang w:eastAsia="en-AU"/>
              </w:rPr>
              <w:t>Welfare Rights Unit</w:t>
            </w:r>
          </w:p>
        </w:tc>
        <w:tc>
          <w:tcPr>
            <w:tcW w:w="1275" w:type="dxa"/>
            <w:shd w:val="clear" w:color="auto" w:fill="auto"/>
          </w:tcPr>
          <w:p w:rsidR="00673ED8" w:rsidRPr="0085625E" w:rsidRDefault="00673ED8" w:rsidP="00CF7010">
            <w:pPr>
              <w:autoSpaceDE w:val="0"/>
              <w:autoSpaceDN w:val="0"/>
              <w:adjustRightInd w:val="0"/>
              <w:rPr>
                <w:rFonts w:asciiTheme="minorHAnsi" w:hAnsiTheme="minorHAnsi" w:cstheme="minorHAnsi"/>
                <w:sz w:val="22"/>
                <w:szCs w:val="22"/>
                <w:lang w:eastAsia="en-AU"/>
              </w:rPr>
            </w:pPr>
            <w:r w:rsidRPr="0085625E">
              <w:rPr>
                <w:rFonts w:asciiTheme="minorHAnsi" w:hAnsiTheme="minorHAnsi" w:cstheme="minorHAnsi"/>
                <w:sz w:val="22"/>
                <w:szCs w:val="22"/>
                <w:lang w:eastAsia="en-AU"/>
              </w:rPr>
              <w:t>$193,623</w:t>
            </w:r>
          </w:p>
          <w:p w:rsidR="00673ED8" w:rsidRPr="0085625E" w:rsidRDefault="00673ED8" w:rsidP="00CF7010">
            <w:pPr>
              <w:autoSpaceDE w:val="0"/>
              <w:autoSpaceDN w:val="0"/>
              <w:adjustRightInd w:val="0"/>
              <w:rPr>
                <w:rFonts w:asciiTheme="minorHAnsi" w:hAnsiTheme="minorHAnsi" w:cstheme="minorHAnsi"/>
                <w:b/>
                <w:bCs/>
                <w:sz w:val="22"/>
                <w:szCs w:val="22"/>
                <w:lang w:eastAsia="en-AU"/>
              </w:rPr>
            </w:pPr>
          </w:p>
        </w:tc>
      </w:tr>
      <w:tr w:rsidR="00673ED8" w:rsidRPr="0085625E" w:rsidTr="0085625E">
        <w:trPr>
          <w:jc w:val="center"/>
        </w:trPr>
        <w:tc>
          <w:tcPr>
            <w:tcW w:w="3510" w:type="dxa"/>
            <w:shd w:val="clear" w:color="auto" w:fill="auto"/>
          </w:tcPr>
          <w:p w:rsidR="00673ED8" w:rsidRPr="0085625E" w:rsidRDefault="00673ED8" w:rsidP="00CF7010">
            <w:pPr>
              <w:autoSpaceDE w:val="0"/>
              <w:autoSpaceDN w:val="0"/>
              <w:adjustRightInd w:val="0"/>
              <w:rPr>
                <w:rFonts w:asciiTheme="minorHAnsi" w:hAnsiTheme="minorHAnsi" w:cstheme="minorHAnsi"/>
                <w:b/>
                <w:bCs/>
                <w:sz w:val="22"/>
                <w:szCs w:val="22"/>
                <w:lang w:eastAsia="en-AU"/>
              </w:rPr>
            </w:pPr>
            <w:r w:rsidRPr="0085625E">
              <w:rPr>
                <w:rFonts w:asciiTheme="minorHAnsi" w:hAnsiTheme="minorHAnsi" w:cstheme="minorHAnsi"/>
                <w:sz w:val="22"/>
                <w:szCs w:val="22"/>
                <w:lang w:eastAsia="en-AU"/>
              </w:rPr>
              <w:t>Victoria</w:t>
            </w:r>
          </w:p>
        </w:tc>
        <w:tc>
          <w:tcPr>
            <w:tcW w:w="4111" w:type="dxa"/>
            <w:shd w:val="clear" w:color="auto" w:fill="auto"/>
          </w:tcPr>
          <w:p w:rsidR="00673ED8" w:rsidRPr="0085625E" w:rsidRDefault="00673ED8" w:rsidP="00CF7010">
            <w:pPr>
              <w:autoSpaceDE w:val="0"/>
              <w:autoSpaceDN w:val="0"/>
              <w:adjustRightInd w:val="0"/>
              <w:rPr>
                <w:rFonts w:asciiTheme="minorHAnsi" w:hAnsiTheme="minorHAnsi" w:cstheme="minorHAnsi"/>
                <w:b/>
                <w:bCs/>
                <w:sz w:val="22"/>
                <w:szCs w:val="22"/>
                <w:lang w:eastAsia="en-AU"/>
              </w:rPr>
            </w:pPr>
            <w:r w:rsidRPr="0085625E">
              <w:rPr>
                <w:rFonts w:asciiTheme="minorHAnsi" w:hAnsiTheme="minorHAnsi" w:cstheme="minorHAnsi"/>
                <w:sz w:val="22"/>
                <w:szCs w:val="22"/>
                <w:lang w:eastAsia="en-AU"/>
              </w:rPr>
              <w:t>Barwon Community Legal Service</w:t>
            </w:r>
          </w:p>
        </w:tc>
        <w:tc>
          <w:tcPr>
            <w:tcW w:w="1275" w:type="dxa"/>
            <w:shd w:val="clear" w:color="auto" w:fill="auto"/>
          </w:tcPr>
          <w:p w:rsidR="00673ED8" w:rsidRPr="0085625E" w:rsidRDefault="00673ED8" w:rsidP="00CF7010">
            <w:pPr>
              <w:autoSpaceDE w:val="0"/>
              <w:autoSpaceDN w:val="0"/>
              <w:adjustRightInd w:val="0"/>
              <w:rPr>
                <w:rFonts w:asciiTheme="minorHAnsi" w:hAnsiTheme="minorHAnsi" w:cstheme="minorHAnsi"/>
                <w:sz w:val="22"/>
                <w:szCs w:val="22"/>
                <w:lang w:eastAsia="en-AU"/>
              </w:rPr>
            </w:pPr>
            <w:r w:rsidRPr="0085625E">
              <w:rPr>
                <w:rFonts w:asciiTheme="minorHAnsi" w:hAnsiTheme="minorHAnsi" w:cstheme="minorHAnsi"/>
                <w:sz w:val="22"/>
                <w:szCs w:val="22"/>
                <w:lang w:eastAsia="en-AU"/>
              </w:rPr>
              <w:t>$97,505</w:t>
            </w:r>
          </w:p>
          <w:p w:rsidR="00673ED8" w:rsidRPr="0085625E" w:rsidRDefault="00673ED8" w:rsidP="00CF7010">
            <w:pPr>
              <w:autoSpaceDE w:val="0"/>
              <w:autoSpaceDN w:val="0"/>
              <w:adjustRightInd w:val="0"/>
              <w:rPr>
                <w:rFonts w:asciiTheme="minorHAnsi" w:hAnsiTheme="minorHAnsi" w:cstheme="minorHAnsi"/>
                <w:b/>
                <w:bCs/>
                <w:sz w:val="22"/>
                <w:szCs w:val="22"/>
                <w:lang w:eastAsia="en-AU"/>
              </w:rPr>
            </w:pPr>
          </w:p>
        </w:tc>
      </w:tr>
      <w:tr w:rsidR="00673ED8" w:rsidRPr="0085625E" w:rsidTr="0085625E">
        <w:trPr>
          <w:jc w:val="center"/>
        </w:trPr>
        <w:tc>
          <w:tcPr>
            <w:tcW w:w="3510" w:type="dxa"/>
            <w:shd w:val="clear" w:color="auto" w:fill="auto"/>
          </w:tcPr>
          <w:p w:rsidR="00673ED8" w:rsidRPr="0085625E" w:rsidRDefault="00673ED8" w:rsidP="00CF7010">
            <w:pPr>
              <w:autoSpaceDE w:val="0"/>
              <w:autoSpaceDN w:val="0"/>
              <w:adjustRightInd w:val="0"/>
              <w:rPr>
                <w:rFonts w:asciiTheme="minorHAnsi" w:hAnsiTheme="minorHAnsi" w:cstheme="minorHAnsi"/>
                <w:b/>
                <w:bCs/>
                <w:sz w:val="22"/>
                <w:szCs w:val="22"/>
                <w:lang w:eastAsia="en-AU"/>
              </w:rPr>
            </w:pPr>
            <w:r w:rsidRPr="0085625E">
              <w:rPr>
                <w:rFonts w:asciiTheme="minorHAnsi" w:hAnsiTheme="minorHAnsi" w:cstheme="minorHAnsi"/>
                <w:sz w:val="22"/>
                <w:szCs w:val="22"/>
                <w:lang w:eastAsia="en-AU"/>
              </w:rPr>
              <w:t>Western Australia</w:t>
            </w:r>
          </w:p>
        </w:tc>
        <w:tc>
          <w:tcPr>
            <w:tcW w:w="4111" w:type="dxa"/>
            <w:shd w:val="clear" w:color="auto" w:fill="auto"/>
          </w:tcPr>
          <w:p w:rsidR="00673ED8" w:rsidRPr="0085625E" w:rsidRDefault="00673ED8" w:rsidP="00CF7010">
            <w:pPr>
              <w:autoSpaceDE w:val="0"/>
              <w:autoSpaceDN w:val="0"/>
              <w:adjustRightInd w:val="0"/>
              <w:rPr>
                <w:rFonts w:asciiTheme="minorHAnsi" w:hAnsiTheme="minorHAnsi" w:cstheme="minorHAnsi"/>
                <w:b/>
                <w:bCs/>
                <w:sz w:val="22"/>
                <w:szCs w:val="22"/>
                <w:lang w:eastAsia="en-AU"/>
              </w:rPr>
            </w:pPr>
            <w:r w:rsidRPr="0085625E">
              <w:rPr>
                <w:rFonts w:asciiTheme="minorHAnsi" w:hAnsiTheme="minorHAnsi" w:cstheme="minorHAnsi"/>
                <w:sz w:val="22"/>
                <w:szCs w:val="22"/>
                <w:lang w:eastAsia="en-AU"/>
              </w:rPr>
              <w:t>Freemantle Community Legal Centre</w:t>
            </w:r>
          </w:p>
        </w:tc>
        <w:tc>
          <w:tcPr>
            <w:tcW w:w="1275" w:type="dxa"/>
            <w:shd w:val="clear" w:color="auto" w:fill="auto"/>
          </w:tcPr>
          <w:p w:rsidR="00673ED8" w:rsidRPr="0085625E" w:rsidRDefault="00673ED8" w:rsidP="00CF7010">
            <w:pPr>
              <w:autoSpaceDE w:val="0"/>
              <w:autoSpaceDN w:val="0"/>
              <w:adjustRightInd w:val="0"/>
              <w:rPr>
                <w:rFonts w:asciiTheme="minorHAnsi" w:hAnsiTheme="minorHAnsi" w:cstheme="minorHAnsi"/>
                <w:sz w:val="22"/>
                <w:szCs w:val="22"/>
                <w:lang w:eastAsia="en-AU"/>
              </w:rPr>
            </w:pPr>
            <w:r w:rsidRPr="0085625E">
              <w:rPr>
                <w:rFonts w:asciiTheme="minorHAnsi" w:hAnsiTheme="minorHAnsi" w:cstheme="minorHAnsi"/>
                <w:sz w:val="22"/>
                <w:szCs w:val="22"/>
                <w:lang w:eastAsia="en-AU"/>
              </w:rPr>
              <w:t>$61,371</w:t>
            </w:r>
          </w:p>
          <w:p w:rsidR="00673ED8" w:rsidRPr="0085625E" w:rsidRDefault="00673ED8" w:rsidP="00CF7010">
            <w:pPr>
              <w:autoSpaceDE w:val="0"/>
              <w:autoSpaceDN w:val="0"/>
              <w:adjustRightInd w:val="0"/>
              <w:rPr>
                <w:rFonts w:asciiTheme="minorHAnsi" w:hAnsiTheme="minorHAnsi" w:cstheme="minorHAnsi"/>
                <w:b/>
                <w:bCs/>
                <w:sz w:val="22"/>
                <w:szCs w:val="22"/>
                <w:lang w:eastAsia="en-AU"/>
              </w:rPr>
            </w:pPr>
          </w:p>
        </w:tc>
      </w:tr>
      <w:tr w:rsidR="00673ED8" w:rsidRPr="0085625E" w:rsidTr="0085625E">
        <w:trPr>
          <w:jc w:val="center"/>
        </w:trPr>
        <w:tc>
          <w:tcPr>
            <w:tcW w:w="3510" w:type="dxa"/>
            <w:shd w:val="clear" w:color="auto" w:fill="auto"/>
          </w:tcPr>
          <w:p w:rsidR="00673ED8" w:rsidRPr="0085625E" w:rsidRDefault="00673ED8" w:rsidP="00CF7010">
            <w:pPr>
              <w:autoSpaceDE w:val="0"/>
              <w:autoSpaceDN w:val="0"/>
              <w:adjustRightInd w:val="0"/>
              <w:rPr>
                <w:rFonts w:asciiTheme="minorHAnsi" w:hAnsiTheme="minorHAnsi" w:cstheme="minorHAnsi"/>
                <w:sz w:val="22"/>
                <w:szCs w:val="22"/>
                <w:lang w:eastAsia="en-AU"/>
              </w:rPr>
            </w:pPr>
            <w:r w:rsidRPr="0085625E">
              <w:rPr>
                <w:rFonts w:asciiTheme="minorHAnsi" w:hAnsiTheme="minorHAnsi" w:cstheme="minorHAnsi"/>
                <w:sz w:val="22"/>
                <w:szCs w:val="22"/>
                <w:lang w:eastAsia="en-AU"/>
              </w:rPr>
              <w:t>Western Australia</w:t>
            </w:r>
          </w:p>
        </w:tc>
        <w:tc>
          <w:tcPr>
            <w:tcW w:w="4111" w:type="dxa"/>
            <w:shd w:val="clear" w:color="auto" w:fill="auto"/>
          </w:tcPr>
          <w:p w:rsidR="00673ED8" w:rsidRPr="0085625E" w:rsidRDefault="00673ED8" w:rsidP="00CF7010">
            <w:pPr>
              <w:autoSpaceDE w:val="0"/>
              <w:autoSpaceDN w:val="0"/>
              <w:adjustRightInd w:val="0"/>
              <w:rPr>
                <w:rFonts w:asciiTheme="minorHAnsi" w:hAnsiTheme="minorHAnsi" w:cstheme="minorHAnsi"/>
                <w:sz w:val="22"/>
                <w:szCs w:val="22"/>
                <w:lang w:eastAsia="en-AU"/>
              </w:rPr>
            </w:pPr>
            <w:r w:rsidRPr="0085625E">
              <w:rPr>
                <w:rFonts w:asciiTheme="minorHAnsi" w:hAnsiTheme="minorHAnsi" w:cstheme="minorHAnsi"/>
                <w:sz w:val="22"/>
                <w:szCs w:val="22"/>
                <w:lang w:eastAsia="en-AU"/>
              </w:rPr>
              <w:t>Sussex St. Community Law Service</w:t>
            </w:r>
          </w:p>
        </w:tc>
        <w:tc>
          <w:tcPr>
            <w:tcW w:w="1275" w:type="dxa"/>
            <w:shd w:val="clear" w:color="auto" w:fill="auto"/>
          </w:tcPr>
          <w:p w:rsidR="00673ED8" w:rsidRPr="0085625E" w:rsidRDefault="00673ED8" w:rsidP="00CF7010">
            <w:pPr>
              <w:autoSpaceDE w:val="0"/>
              <w:autoSpaceDN w:val="0"/>
              <w:adjustRightInd w:val="0"/>
              <w:rPr>
                <w:rFonts w:asciiTheme="minorHAnsi" w:hAnsiTheme="minorHAnsi" w:cstheme="minorHAnsi"/>
                <w:sz w:val="22"/>
                <w:szCs w:val="22"/>
                <w:lang w:eastAsia="en-AU"/>
              </w:rPr>
            </w:pPr>
            <w:r w:rsidRPr="0085625E">
              <w:rPr>
                <w:rFonts w:asciiTheme="minorHAnsi" w:hAnsiTheme="minorHAnsi" w:cstheme="minorHAnsi"/>
                <w:sz w:val="22"/>
                <w:szCs w:val="22"/>
                <w:lang w:eastAsia="en-AU"/>
              </w:rPr>
              <w:t>$61,371</w:t>
            </w:r>
          </w:p>
          <w:p w:rsidR="00673ED8" w:rsidRPr="0085625E" w:rsidRDefault="00673ED8" w:rsidP="00CF7010">
            <w:pPr>
              <w:autoSpaceDE w:val="0"/>
              <w:autoSpaceDN w:val="0"/>
              <w:adjustRightInd w:val="0"/>
              <w:rPr>
                <w:rFonts w:asciiTheme="minorHAnsi" w:hAnsiTheme="minorHAnsi" w:cstheme="minorHAnsi"/>
                <w:sz w:val="22"/>
                <w:szCs w:val="22"/>
                <w:lang w:eastAsia="en-AU"/>
              </w:rPr>
            </w:pPr>
          </w:p>
        </w:tc>
      </w:tr>
      <w:tr w:rsidR="00673ED8" w:rsidRPr="0085625E" w:rsidTr="0085625E">
        <w:trPr>
          <w:jc w:val="center"/>
        </w:trPr>
        <w:tc>
          <w:tcPr>
            <w:tcW w:w="3510" w:type="dxa"/>
            <w:shd w:val="clear" w:color="auto" w:fill="auto"/>
          </w:tcPr>
          <w:p w:rsidR="00673ED8" w:rsidRPr="0085625E" w:rsidRDefault="00673ED8" w:rsidP="00CF7010">
            <w:pPr>
              <w:autoSpaceDE w:val="0"/>
              <w:autoSpaceDN w:val="0"/>
              <w:adjustRightInd w:val="0"/>
              <w:rPr>
                <w:rFonts w:asciiTheme="minorHAnsi" w:hAnsiTheme="minorHAnsi" w:cstheme="minorHAnsi"/>
                <w:sz w:val="22"/>
                <w:szCs w:val="22"/>
                <w:lang w:eastAsia="en-AU"/>
              </w:rPr>
            </w:pPr>
            <w:r w:rsidRPr="0085625E">
              <w:rPr>
                <w:rFonts w:asciiTheme="minorHAnsi" w:hAnsiTheme="minorHAnsi" w:cstheme="minorHAnsi"/>
                <w:sz w:val="22"/>
                <w:szCs w:val="22"/>
                <w:lang w:eastAsia="en-AU"/>
              </w:rPr>
              <w:t>Western Australia</w:t>
            </w:r>
          </w:p>
        </w:tc>
        <w:tc>
          <w:tcPr>
            <w:tcW w:w="4111" w:type="dxa"/>
            <w:shd w:val="clear" w:color="auto" w:fill="auto"/>
          </w:tcPr>
          <w:p w:rsidR="00673ED8" w:rsidRPr="0085625E" w:rsidRDefault="00673ED8" w:rsidP="00CF7010">
            <w:pPr>
              <w:autoSpaceDE w:val="0"/>
              <w:autoSpaceDN w:val="0"/>
              <w:adjustRightInd w:val="0"/>
              <w:rPr>
                <w:rFonts w:asciiTheme="minorHAnsi" w:hAnsiTheme="minorHAnsi" w:cstheme="minorHAnsi"/>
                <w:sz w:val="22"/>
                <w:szCs w:val="22"/>
                <w:lang w:eastAsia="en-AU"/>
              </w:rPr>
            </w:pPr>
            <w:r w:rsidRPr="0085625E">
              <w:rPr>
                <w:rFonts w:asciiTheme="minorHAnsi" w:hAnsiTheme="minorHAnsi" w:cstheme="minorHAnsi"/>
                <w:sz w:val="22"/>
                <w:szCs w:val="22"/>
                <w:lang w:eastAsia="en-AU"/>
              </w:rPr>
              <w:t>Welfare Rights &amp; Advocacy Service</w:t>
            </w:r>
          </w:p>
        </w:tc>
        <w:tc>
          <w:tcPr>
            <w:tcW w:w="1275" w:type="dxa"/>
            <w:shd w:val="clear" w:color="auto" w:fill="auto"/>
          </w:tcPr>
          <w:p w:rsidR="00673ED8" w:rsidRPr="0085625E" w:rsidRDefault="00673ED8" w:rsidP="00CF7010">
            <w:pPr>
              <w:autoSpaceDE w:val="0"/>
              <w:autoSpaceDN w:val="0"/>
              <w:adjustRightInd w:val="0"/>
              <w:rPr>
                <w:rFonts w:asciiTheme="minorHAnsi" w:hAnsiTheme="minorHAnsi" w:cstheme="minorHAnsi"/>
                <w:sz w:val="22"/>
                <w:szCs w:val="22"/>
                <w:lang w:eastAsia="en-AU"/>
              </w:rPr>
            </w:pPr>
            <w:r w:rsidRPr="0085625E">
              <w:rPr>
                <w:rFonts w:asciiTheme="minorHAnsi" w:hAnsiTheme="minorHAnsi" w:cstheme="minorHAnsi"/>
                <w:sz w:val="22"/>
                <w:szCs w:val="22"/>
                <w:lang w:eastAsia="en-AU"/>
              </w:rPr>
              <w:t>$195,119</w:t>
            </w:r>
          </w:p>
          <w:p w:rsidR="00673ED8" w:rsidRPr="0085625E" w:rsidRDefault="00673ED8" w:rsidP="00CF7010">
            <w:pPr>
              <w:autoSpaceDE w:val="0"/>
              <w:autoSpaceDN w:val="0"/>
              <w:adjustRightInd w:val="0"/>
              <w:rPr>
                <w:rFonts w:asciiTheme="minorHAnsi" w:hAnsiTheme="minorHAnsi" w:cstheme="minorHAnsi"/>
                <w:sz w:val="22"/>
                <w:szCs w:val="22"/>
                <w:lang w:eastAsia="en-AU"/>
              </w:rPr>
            </w:pPr>
          </w:p>
        </w:tc>
      </w:tr>
    </w:tbl>
    <w:p w:rsidR="00212CD5" w:rsidRDefault="00212CD5" w:rsidP="00212CD5">
      <w:pPr>
        <w:pStyle w:val="Default"/>
        <w:jc w:val="both"/>
      </w:pPr>
    </w:p>
    <w:p w:rsidR="00605EB0" w:rsidRDefault="003B6F26" w:rsidP="003E6CBD">
      <w:pPr>
        <w:pStyle w:val="Body"/>
      </w:pPr>
      <w:r>
        <w:t>The funding information</w:t>
      </w:r>
      <w:r w:rsidR="00212CD5">
        <w:t xml:space="preserve"> provided ab</w:t>
      </w:r>
      <w:r>
        <w:t>ove</w:t>
      </w:r>
      <w:r w:rsidR="00212CD5">
        <w:t xml:space="preserve"> shows very clearly how inadequate the existing levels of </w:t>
      </w:r>
      <w:r>
        <w:t xml:space="preserve">Federal </w:t>
      </w:r>
      <w:r w:rsidR="00212CD5">
        <w:t xml:space="preserve">resourcing are, especially when considered against the numbers of income support recipients in Australia and where they are located. </w:t>
      </w:r>
    </w:p>
    <w:p w:rsidR="001B04A0" w:rsidRPr="00E27920" w:rsidRDefault="001B04A0" w:rsidP="00E27920">
      <w:pPr>
        <w:pStyle w:val="Heading2"/>
        <w:numPr>
          <w:ilvl w:val="1"/>
          <w:numId w:val="25"/>
        </w:numPr>
        <w:ind w:left="567" w:hanging="567"/>
      </w:pPr>
      <w:bookmarkStart w:id="6" w:name="_Toc315947180"/>
      <w:r w:rsidRPr="00E27920">
        <w:t>Proposed Welfare Rights program expansion</w:t>
      </w:r>
      <w:bookmarkEnd w:id="6"/>
    </w:p>
    <w:p w:rsidR="00212CD5" w:rsidRDefault="00212CD5" w:rsidP="003E6CBD">
      <w:pPr>
        <w:pStyle w:val="Body"/>
      </w:pPr>
      <w:r>
        <w:t xml:space="preserve">NWRN proposes that from 1 January 2013 the Welfare Rights </w:t>
      </w:r>
      <w:r w:rsidR="00327116">
        <w:t xml:space="preserve">service </w:t>
      </w:r>
      <w:r>
        <w:t>program should be expanded initially by $3 million, as was originally intended in 1993</w:t>
      </w:r>
      <w:r w:rsidR="001B04A0">
        <w:t>.</w:t>
      </w:r>
      <w:r>
        <w:t xml:space="preserve"> </w:t>
      </w:r>
      <w:r w:rsidR="001B04A0">
        <w:t xml:space="preserve">The Welfare Rights Program would be further augmented with </w:t>
      </w:r>
      <w:r>
        <w:t xml:space="preserve">$2.5 million in </w:t>
      </w:r>
      <w:r w:rsidR="001B04A0">
        <w:t>2015</w:t>
      </w:r>
      <w:r>
        <w:t xml:space="preserve"> once the initial expansion has been accomplished. The expansion of funding would enable a significant increase in the capacity of Welfare Rights services to both assist greater numbers of clients and to hold </w:t>
      </w:r>
      <w:proofErr w:type="spellStart"/>
      <w:r>
        <w:t>Centrelink</w:t>
      </w:r>
      <w:proofErr w:type="spellEnd"/>
      <w:r>
        <w:t xml:space="preserve"> more accountable for the services it provides and the decisions it makes. </w:t>
      </w:r>
    </w:p>
    <w:p w:rsidR="00212CD5" w:rsidRDefault="00212CD5" w:rsidP="003E6CBD">
      <w:pPr>
        <w:pStyle w:val="Body"/>
      </w:pPr>
      <w:r>
        <w:lastRenderedPageBreak/>
        <w:t xml:space="preserve">An investment of $3 million, allocated as recommended, would mean that </w:t>
      </w:r>
      <w:r w:rsidR="003B6F26">
        <w:t>thousands of</w:t>
      </w:r>
      <w:r>
        <w:t xml:space="preserve"> additional </w:t>
      </w:r>
      <w:proofErr w:type="spellStart"/>
      <w:r>
        <w:t>Centrelink</w:t>
      </w:r>
      <w:proofErr w:type="spellEnd"/>
      <w:r>
        <w:t xml:space="preserve"> </w:t>
      </w:r>
      <w:r w:rsidR="003B6F26">
        <w:t>clients</w:t>
      </w:r>
      <w:r>
        <w:t xml:space="preserve"> throughout Australia would be able to gain independent Social Security and Family Assistance advice each year. </w:t>
      </w:r>
      <w:r w:rsidR="003B6F26">
        <w:t>Such an increase would</w:t>
      </w:r>
      <w:r>
        <w:t xml:space="preserve"> also significantly increase the capacity to capture independent casework data on which to base feedback and advice to </w:t>
      </w:r>
      <w:proofErr w:type="spellStart"/>
      <w:r>
        <w:t>Centrelink</w:t>
      </w:r>
      <w:proofErr w:type="spellEnd"/>
      <w:r>
        <w:t xml:space="preserve"> and the policy departments (the Department of Human Services, the Department of Families, Housing, Community Services and Indigenous Affairs and the Department of Education, Employment and Workplace Relations) regarding em</w:t>
      </w:r>
      <w:r w:rsidR="00F24582">
        <w:t>erging and systemic problems.</w:t>
      </w:r>
    </w:p>
    <w:p w:rsidR="007024DD" w:rsidRPr="00AB023A" w:rsidRDefault="007024DD" w:rsidP="00DE1A11">
      <w:pPr>
        <w:pStyle w:val="Heading3"/>
        <w:pBdr>
          <w:top w:val="single" w:sz="4" w:space="1" w:color="auto"/>
          <w:left w:val="single" w:sz="4" w:space="1" w:color="auto"/>
          <w:bottom w:val="single" w:sz="4" w:space="1" w:color="auto"/>
          <w:right w:val="single" w:sz="4" w:space="1" w:color="auto"/>
        </w:pBdr>
        <w:shd w:val="pct25" w:color="auto" w:fill="4A442A" w:themeFill="background2" w:themeFillShade="40"/>
        <w:ind w:left="720"/>
        <w:jc w:val="center"/>
        <w:rPr>
          <w:color w:val="FFFFFF" w:themeColor="background1"/>
        </w:rPr>
      </w:pPr>
      <w:r w:rsidRPr="00AB023A">
        <w:rPr>
          <w:color w:val="FFFFFF" w:themeColor="background1"/>
        </w:rPr>
        <w:t>Case study to illustrate the need for expansion of Welfare Rights Programs</w:t>
      </w:r>
    </w:p>
    <w:p w:rsidR="007024DD" w:rsidRPr="00AB023A" w:rsidRDefault="007024DD" w:rsidP="00DE1A11">
      <w:pPr>
        <w:pStyle w:val="Heading3"/>
        <w:pBdr>
          <w:top w:val="single" w:sz="4" w:space="1" w:color="auto"/>
          <w:left w:val="single" w:sz="4" w:space="1" w:color="auto"/>
          <w:bottom w:val="single" w:sz="4" w:space="1" w:color="auto"/>
          <w:right w:val="single" w:sz="4" w:space="1" w:color="auto"/>
        </w:pBdr>
        <w:shd w:val="pct25" w:color="auto" w:fill="4A442A" w:themeFill="background2" w:themeFillShade="40"/>
        <w:ind w:left="720"/>
        <w:jc w:val="center"/>
        <w:rPr>
          <w:color w:val="FFFFFF" w:themeColor="background1"/>
        </w:rPr>
      </w:pPr>
      <w:r w:rsidRPr="00AB023A">
        <w:rPr>
          <w:color w:val="FFFFFF" w:themeColor="background1"/>
        </w:rPr>
        <w:t>Arrears paid</w:t>
      </w:r>
    </w:p>
    <w:p w:rsidR="007024DD" w:rsidRPr="002E2477" w:rsidRDefault="007024DD" w:rsidP="007024DD">
      <w:pPr>
        <w:pStyle w:val="Body"/>
        <w:pBdr>
          <w:top w:val="single" w:sz="4" w:space="1" w:color="auto"/>
          <w:left w:val="single" w:sz="4" w:space="1" w:color="auto"/>
          <w:bottom w:val="single" w:sz="4" w:space="1" w:color="auto"/>
          <w:right w:val="single" w:sz="4" w:space="1" w:color="auto"/>
        </w:pBdr>
        <w:ind w:left="720"/>
      </w:pPr>
      <w:r w:rsidRPr="002E2477">
        <w:t xml:space="preserve">Karen had separated from her husband in 2009 and lodged a claim for Carer Payment as she was looking after her mother.  A number of months after the claim was lodged </w:t>
      </w:r>
      <w:proofErr w:type="spellStart"/>
      <w:r w:rsidRPr="002E2477">
        <w:t>Centrelink</w:t>
      </w:r>
      <w:proofErr w:type="spellEnd"/>
      <w:r w:rsidRPr="002E2477">
        <w:t xml:space="preserve"> rejected the claim on the basis that she had failed to provide relevant documents to </w:t>
      </w:r>
      <w:proofErr w:type="spellStart"/>
      <w:r w:rsidRPr="002E2477">
        <w:t>Centrelink</w:t>
      </w:r>
      <w:proofErr w:type="spellEnd"/>
      <w:r w:rsidRPr="002E2477">
        <w:t xml:space="preserve">.   </w:t>
      </w:r>
      <w:proofErr w:type="spellStart"/>
      <w:r w:rsidRPr="002E2477">
        <w:t>Centrelink</w:t>
      </w:r>
      <w:proofErr w:type="spellEnd"/>
      <w:r w:rsidRPr="002E2477">
        <w:t xml:space="preserve"> required documents relating to the company that Karen had operated with her ex-husband.  Karen had provided numerous documents relating to the company and its asset value but </w:t>
      </w:r>
      <w:proofErr w:type="spellStart"/>
      <w:r w:rsidRPr="002E2477">
        <w:t>Centrelink</w:t>
      </w:r>
      <w:proofErr w:type="spellEnd"/>
      <w:r w:rsidRPr="002E2477">
        <w:t xml:space="preserve"> kept on wanting more documents. This was proving difficult for her as her ex-husband was being uncooperative.    </w:t>
      </w:r>
    </w:p>
    <w:p w:rsidR="007024DD" w:rsidRPr="002E2477" w:rsidRDefault="007024DD" w:rsidP="007024DD">
      <w:pPr>
        <w:pStyle w:val="Body"/>
        <w:pBdr>
          <w:top w:val="single" w:sz="4" w:space="1" w:color="auto"/>
          <w:left w:val="single" w:sz="4" w:space="1" w:color="auto"/>
          <w:bottom w:val="single" w:sz="4" w:space="1" w:color="auto"/>
          <w:right w:val="single" w:sz="4" w:space="1" w:color="auto"/>
        </w:pBdr>
        <w:ind w:left="720"/>
      </w:pPr>
      <w:r w:rsidRPr="002E2477">
        <w:t xml:space="preserve">An appeal was lodged to an Authorised Review Officer (ARO). The ARO simply rubber stamped the previous </w:t>
      </w:r>
      <w:proofErr w:type="spellStart"/>
      <w:r w:rsidRPr="002E2477">
        <w:t>Centrelink</w:t>
      </w:r>
      <w:proofErr w:type="spellEnd"/>
      <w:r w:rsidRPr="002E2477">
        <w:t xml:space="preserve"> decision stating that </w:t>
      </w:r>
      <w:proofErr w:type="spellStart"/>
      <w:r w:rsidRPr="002E2477">
        <w:t>Centrelink</w:t>
      </w:r>
      <w:proofErr w:type="spellEnd"/>
      <w:r w:rsidRPr="002E2477">
        <w:t xml:space="preserve"> could not process the claim without the “relevant” documents.   An appeal was lodged to the Social Security Appeals Tribunal (SSAT) and Karen sought the advice of the Welfare Rights Centre to prepare for the appeal.</w:t>
      </w:r>
    </w:p>
    <w:p w:rsidR="007024DD" w:rsidRPr="002E2477" w:rsidRDefault="007024DD" w:rsidP="007024DD">
      <w:pPr>
        <w:pStyle w:val="Body"/>
        <w:pBdr>
          <w:top w:val="single" w:sz="4" w:space="1" w:color="auto"/>
          <w:left w:val="single" w:sz="4" w:space="1" w:color="auto"/>
          <w:bottom w:val="single" w:sz="4" w:space="1" w:color="auto"/>
          <w:right w:val="single" w:sz="4" w:space="1" w:color="auto"/>
        </w:pBdr>
        <w:ind w:left="720"/>
      </w:pPr>
      <w:r w:rsidRPr="002E2477">
        <w:t xml:space="preserve">We advised that if the SSAT concluded there was insufficient evidence to assess the Carer Payment it had the power under Social Security legislation (as did </w:t>
      </w:r>
      <w:proofErr w:type="spellStart"/>
      <w:r w:rsidRPr="002E2477">
        <w:t>Centrelink</w:t>
      </w:r>
      <w:proofErr w:type="spellEnd"/>
      <w:r w:rsidRPr="002E2477">
        <w:t xml:space="preserve">) to write to Karen’s ex-husband and to his accountant to request the relevant documents.   </w:t>
      </w:r>
    </w:p>
    <w:p w:rsidR="007024DD" w:rsidRDefault="007024DD" w:rsidP="007024DD">
      <w:pPr>
        <w:pStyle w:val="Body"/>
        <w:pBdr>
          <w:top w:val="single" w:sz="4" w:space="1" w:color="auto"/>
          <w:left w:val="single" w:sz="4" w:space="1" w:color="auto"/>
          <w:bottom w:val="single" w:sz="4" w:space="1" w:color="auto"/>
          <w:right w:val="single" w:sz="4" w:space="1" w:color="auto"/>
        </w:pBdr>
        <w:ind w:left="720"/>
      </w:pPr>
      <w:r w:rsidRPr="002E2477">
        <w:t xml:space="preserve">However, the SSAT changed </w:t>
      </w:r>
      <w:proofErr w:type="spellStart"/>
      <w:r w:rsidRPr="002E2477">
        <w:t>Centrelink’s</w:t>
      </w:r>
      <w:proofErr w:type="spellEnd"/>
      <w:r w:rsidRPr="002E2477">
        <w:t xml:space="preserve"> decision stating that </w:t>
      </w:r>
      <w:proofErr w:type="spellStart"/>
      <w:r w:rsidRPr="002E2477">
        <w:t>Centrelink</w:t>
      </w:r>
      <w:proofErr w:type="spellEnd"/>
      <w:r w:rsidRPr="002E2477">
        <w:t xml:space="preserve"> in fact had sufficient information to work out whether Karen was eligible for Carer Payment.     As the case had dragged on for over one year from the date of the claim Karen was paid $20,000 in arrears.  While Karen was pleased with the decision and happy to finally receive Carer Payment, she was not at all happy with </w:t>
      </w:r>
      <w:proofErr w:type="spellStart"/>
      <w:r w:rsidRPr="002E2477">
        <w:t>Centrelink’s</w:t>
      </w:r>
      <w:proofErr w:type="spellEnd"/>
      <w:r w:rsidRPr="002E2477">
        <w:t xml:space="preserve"> approach to her case which had left her without income support for one year while she cared for her elderly mother.   </w:t>
      </w:r>
    </w:p>
    <w:p w:rsidR="007024DD" w:rsidRPr="00DE1A11" w:rsidRDefault="007024DD" w:rsidP="00DE1A11">
      <w:pPr>
        <w:pStyle w:val="Heading3"/>
        <w:pBdr>
          <w:top w:val="single" w:sz="4" w:space="1" w:color="auto"/>
          <w:left w:val="single" w:sz="4" w:space="1" w:color="auto"/>
          <w:bottom w:val="single" w:sz="4" w:space="1" w:color="auto"/>
          <w:right w:val="single" w:sz="4" w:space="1" w:color="auto"/>
        </w:pBdr>
        <w:shd w:val="clear" w:color="auto" w:fill="4A442A" w:themeFill="background2" w:themeFillShade="40"/>
        <w:ind w:left="720"/>
        <w:jc w:val="center"/>
        <w:rPr>
          <w:color w:val="FFFFFF" w:themeColor="background1"/>
        </w:rPr>
      </w:pPr>
      <w:r w:rsidRPr="00DE1A11">
        <w:rPr>
          <w:color w:val="FFFFFF" w:themeColor="background1"/>
        </w:rPr>
        <w:t>There are thousands of similar cases every year, many of whom never make it to our service providers.</w:t>
      </w:r>
    </w:p>
    <w:p w:rsidR="002C5815" w:rsidRDefault="00212CD5" w:rsidP="003E6CBD">
      <w:pPr>
        <w:pStyle w:val="Body"/>
      </w:pPr>
      <w:r>
        <w:t>Social Security and Family Assistance law is very complex</w:t>
      </w:r>
      <w:r w:rsidR="001B04A0">
        <w:t xml:space="preserve"> and is constantly being updated</w:t>
      </w:r>
      <w:r>
        <w:t xml:space="preserve">. </w:t>
      </w:r>
      <w:proofErr w:type="spellStart"/>
      <w:r>
        <w:t>Centrelink’s</w:t>
      </w:r>
      <w:proofErr w:type="spellEnd"/>
      <w:r>
        <w:t xml:space="preserve"> administration </w:t>
      </w:r>
      <w:r w:rsidR="001B04A0">
        <w:t xml:space="preserve">and its delivery of services and programs </w:t>
      </w:r>
      <w:r w:rsidR="009C0225">
        <w:t>are</w:t>
      </w:r>
      <w:r w:rsidR="001B04A0">
        <w:t xml:space="preserve"> also regularly renewed</w:t>
      </w:r>
      <w:r>
        <w:t xml:space="preserve">. </w:t>
      </w:r>
      <w:r w:rsidR="001B04A0">
        <w:t>Major reforms since 2009, with the legislation heralding a new focus on service delivery</w:t>
      </w:r>
      <w:r w:rsidR="002C5815">
        <w:t xml:space="preserve">, </w:t>
      </w:r>
      <w:r w:rsidR="002C5815">
        <w:lastRenderedPageBreak/>
        <w:t>culminated with</w:t>
      </w:r>
      <w:r w:rsidR="001B04A0">
        <w:t xml:space="preserve"> the Department of Human Services in July 2011</w:t>
      </w:r>
      <w:r w:rsidR="002C5815">
        <w:t xml:space="preserve"> as the Government’s main service delivery agency.</w:t>
      </w:r>
    </w:p>
    <w:p w:rsidR="00212CD5" w:rsidRDefault="00212CD5" w:rsidP="003E6CBD">
      <w:pPr>
        <w:pStyle w:val="Body"/>
      </w:pPr>
      <w:r>
        <w:t xml:space="preserve">The most effective expansion of Welfare Rights services would ensure that current Centres and advocates have a sufficient critical mass of expertise to keep all staff up-to-date and able to support each other and to provide a state-wide telephone service throughout the week. This requires capital city centres to have at least four to six casework advisers. These centres need to be brought up to at least minimum effective size as the first priority. </w:t>
      </w:r>
    </w:p>
    <w:p w:rsidR="00212CD5" w:rsidRDefault="00327116" w:rsidP="003E6CBD">
      <w:pPr>
        <w:pStyle w:val="Body"/>
      </w:pPr>
      <w:r>
        <w:t>Once that priority has been met, e</w:t>
      </w:r>
      <w:r w:rsidR="00212CD5">
        <w:t>xtra resources from Government would allow for additional Welfare Rights positions in areas of greatest need – outer subur</w:t>
      </w:r>
      <w:r w:rsidR="00EC71E9">
        <w:t>bs and disadvantaged locations.</w:t>
      </w:r>
      <w:r w:rsidR="00212CD5">
        <w:rPr>
          <w:rStyle w:val="FootnoteReference"/>
        </w:rPr>
        <w:footnoteReference w:id="10"/>
      </w:r>
      <w:r w:rsidR="00EC71E9">
        <w:t xml:space="preserve"> </w:t>
      </w:r>
      <w:r>
        <w:t xml:space="preserve"> </w:t>
      </w:r>
      <w:r w:rsidR="00EC71E9">
        <w:t>For example, NWRN believes that there is a need</w:t>
      </w:r>
      <w:r w:rsidR="00212CD5">
        <w:t xml:space="preserve"> for specialist </w:t>
      </w:r>
      <w:r w:rsidR="00EC71E9">
        <w:t>social security advice and information</w:t>
      </w:r>
      <w:r w:rsidR="00212CD5">
        <w:t xml:space="preserve"> services in the five locations that have been earmarked for the extension of income management from 1 July 2012.</w:t>
      </w:r>
    </w:p>
    <w:p w:rsidR="00212CD5" w:rsidRDefault="00212CD5" w:rsidP="003E6CBD">
      <w:pPr>
        <w:pStyle w:val="Body"/>
      </w:pPr>
      <w:r>
        <w:t>At present there are only five regional areas with a Welfare Rights service but there are many other areas throughout Australia in need of a local Welfare Rights service, for example Logan, Toowoomba, Cairns, Newcastle, Dubbo, Bendigo, La Trobe Valley, Devonport, Mt Gambier, Rockingham, Kununurra, Geraldton, Alice Springs and the western suburbs of Sydney, Melbourne and Adelaide.</w:t>
      </w:r>
      <w:r w:rsidR="00327116">
        <w:t xml:space="preserve"> </w:t>
      </w:r>
      <w:r>
        <w:t xml:space="preserve"> Two Welfare</w:t>
      </w:r>
      <w:r w:rsidR="00327116">
        <w:t xml:space="preserve"> Rights workers are </w:t>
      </w:r>
      <w:r>
        <w:t>needed in each of these areas.</w:t>
      </w:r>
    </w:p>
    <w:p w:rsidR="00212CD5" w:rsidRPr="00983B01" w:rsidRDefault="00983B01" w:rsidP="003E6CBD">
      <w:pPr>
        <w:pStyle w:val="Body"/>
        <w:rPr>
          <w:rFonts w:cs="Times New Roman"/>
        </w:rPr>
      </w:pPr>
      <w:r w:rsidRPr="00983B01">
        <w:rPr>
          <w:rFonts w:cs="Times New Roman"/>
        </w:rPr>
        <w:t>NWRN draws attention to Attachment 3, a copy of a media release</w:t>
      </w:r>
      <w:r w:rsidR="00CE1A5A">
        <w:rPr>
          <w:rFonts w:cs="Times New Roman"/>
        </w:rPr>
        <w:t xml:space="preserve"> on 4 October 2004</w:t>
      </w:r>
      <w:r w:rsidRPr="00983B01">
        <w:rPr>
          <w:rFonts w:cs="Times New Roman"/>
        </w:rPr>
        <w:t xml:space="preserve"> from the current Treasurer, the Hon. Wayne Swan. The release commits </w:t>
      </w:r>
      <w:proofErr w:type="spellStart"/>
      <w:r w:rsidRPr="00983B01">
        <w:rPr>
          <w:rFonts w:cs="Times New Roman"/>
        </w:rPr>
        <w:t>Labor</w:t>
      </w:r>
      <w:proofErr w:type="spellEnd"/>
      <w:r w:rsidRPr="00983B01">
        <w:rPr>
          <w:rFonts w:cs="Times New Roman"/>
        </w:rPr>
        <w:t xml:space="preserve"> in government to extra funding for the important work NWRN member centres perform.  The statement, released during the 2004 Federal election campaign, highlights difficulties facing individuals and families in dealing with </w:t>
      </w:r>
      <w:proofErr w:type="spellStart"/>
      <w:r w:rsidRPr="00983B01">
        <w:rPr>
          <w:rFonts w:cs="Times New Roman"/>
        </w:rPr>
        <w:t>Centrelink</w:t>
      </w:r>
      <w:proofErr w:type="spellEnd"/>
      <w:r w:rsidRPr="00983B01">
        <w:rPr>
          <w:rFonts w:cs="Times New Roman"/>
        </w:rPr>
        <w:t xml:space="preserve"> debts and Family Tax Benefit overpayments. </w:t>
      </w:r>
      <w:r w:rsidR="00CE1A5A">
        <w:rPr>
          <w:rFonts w:cs="Times New Roman"/>
        </w:rPr>
        <w:t>These</w:t>
      </w:r>
      <w:r w:rsidRPr="00983B01">
        <w:rPr>
          <w:rFonts w:cs="Times New Roman"/>
        </w:rPr>
        <w:t xml:space="preserve"> problems are major service delivery and policy challenges that Welfare Rights is still engaged in and which persist to this day, and need to be urgently addressed.</w:t>
      </w:r>
    </w:p>
    <w:p w:rsidR="00983B01" w:rsidRDefault="00983B01" w:rsidP="00212CD5">
      <w:pPr>
        <w:pStyle w:val="Default"/>
        <w:jc w:val="both"/>
        <w:rPr>
          <w:rFonts w:ascii="Times New Roman" w:hAnsi="Times New Roman" w:cs="Times New Roman"/>
          <w:sz w:val="18"/>
          <w:szCs w:val="18"/>
        </w:rPr>
      </w:pPr>
    </w:p>
    <w:p w:rsidR="00983B01" w:rsidRPr="00E27920" w:rsidRDefault="00983B01" w:rsidP="003E6CBD">
      <w:pPr>
        <w:pStyle w:val="Body"/>
        <w:pBdr>
          <w:top w:val="single" w:sz="4" w:space="1" w:color="auto"/>
          <w:left w:val="single" w:sz="4" w:space="4" w:color="auto"/>
          <w:bottom w:val="single" w:sz="4" w:space="1" w:color="auto"/>
          <w:right w:val="single" w:sz="4" w:space="4" w:color="auto"/>
        </w:pBdr>
        <w:rPr>
          <w:rFonts w:ascii="Times New Roman" w:hAnsi="Times New Roman" w:cs="Times New Roman"/>
          <w:b/>
          <w:sz w:val="18"/>
          <w:szCs w:val="18"/>
        </w:rPr>
      </w:pPr>
      <w:r w:rsidRPr="00E27920">
        <w:rPr>
          <w:b/>
        </w:rPr>
        <w:t>NWRN recommends that from 1 January 2013 the Government substantially increase access to Welfare Rights assistance across Australia, especially for people living in regional areas, by providing an</w:t>
      </w:r>
      <w:r w:rsidR="00327116" w:rsidRPr="00E27920">
        <w:rPr>
          <w:b/>
        </w:rPr>
        <w:t xml:space="preserve"> extra $3 million per annum</w:t>
      </w:r>
      <w:r w:rsidRPr="00E27920">
        <w:rPr>
          <w:b/>
        </w:rPr>
        <w:t>.</w:t>
      </w:r>
    </w:p>
    <w:p w:rsidR="00212CD5" w:rsidRPr="00E27920" w:rsidRDefault="00212CD5" w:rsidP="00E27920">
      <w:pPr>
        <w:pStyle w:val="Heading1"/>
      </w:pPr>
      <w:bookmarkStart w:id="7" w:name="_Toc315947181"/>
      <w:r>
        <w:t>National Secretariat Funding for the National Welfare Rights Network</w:t>
      </w:r>
      <w:bookmarkEnd w:id="7"/>
    </w:p>
    <w:p w:rsidR="00C337EA" w:rsidRPr="00C337EA" w:rsidRDefault="00C337EA" w:rsidP="003E6CBD">
      <w:pPr>
        <w:pStyle w:val="Body"/>
      </w:pPr>
      <w:r w:rsidRPr="00C337EA">
        <w:t>G</w:t>
      </w:r>
      <w:r w:rsidR="00327116">
        <w:t>overnment</w:t>
      </w:r>
      <w:r w:rsidRPr="00C337EA">
        <w:t xml:space="preserve"> recognise</w:t>
      </w:r>
      <w:r w:rsidR="00327116">
        <w:t>s</w:t>
      </w:r>
      <w:r w:rsidRPr="00C337EA">
        <w:t xml:space="preserve"> the need to </w:t>
      </w:r>
      <w:r w:rsidR="004C42C1">
        <w:t>support and closely collaborate</w:t>
      </w:r>
      <w:r w:rsidR="004C42C1" w:rsidRPr="00C337EA">
        <w:t xml:space="preserve"> </w:t>
      </w:r>
      <w:r w:rsidRPr="00C337EA">
        <w:t>with non-</w:t>
      </w:r>
      <w:r>
        <w:t>g</w:t>
      </w:r>
      <w:r w:rsidRPr="00C337EA">
        <w:t xml:space="preserve">overnment organisations and values the contribution that </w:t>
      </w:r>
      <w:r>
        <w:t>that community organisations</w:t>
      </w:r>
      <w:r w:rsidRPr="00C337EA">
        <w:t xml:space="preserve"> make to Australia</w:t>
      </w:r>
      <w:r>
        <w:t>n society</w:t>
      </w:r>
      <w:r w:rsidRPr="00C337EA">
        <w:t>.</w:t>
      </w:r>
      <w:r w:rsidR="004C42C1">
        <w:t xml:space="preserve"> Government’s role in this area has been long-standing and the current Government </w:t>
      </w:r>
      <w:r w:rsidR="004C42C1">
        <w:lastRenderedPageBreak/>
        <w:t>formally recognised its responsibilities in this area in the National Compact between the Government and the non-government sector.</w:t>
      </w:r>
    </w:p>
    <w:p w:rsidR="00212CD5" w:rsidRDefault="00212CD5" w:rsidP="003E6CBD">
      <w:pPr>
        <w:pStyle w:val="Body"/>
      </w:pPr>
      <w:r>
        <w:t xml:space="preserve">The Commonwealth Government provides funding for a range of peak community organisations to provide advice, feedback and to represent the interests of their constituents. </w:t>
      </w:r>
      <w:r w:rsidR="00B222FE">
        <w:t>Some of the key organisations that receive funding</w:t>
      </w:r>
      <w:r>
        <w:t xml:space="preserve"> include: the Australian Council of Social Service; </w:t>
      </w:r>
      <w:r w:rsidR="00C337EA">
        <w:t xml:space="preserve">the Federation of Ethnic Communities Council Australia; </w:t>
      </w:r>
      <w:r w:rsidR="00B222FE">
        <w:t xml:space="preserve">the </w:t>
      </w:r>
      <w:r>
        <w:t>Council on the Ageing (Australia); Carers Australia and the Australian Federation of Disability Organisations. Many of these “peaks” are supported by the Nation</w:t>
      </w:r>
      <w:r w:rsidR="00C337EA">
        <w:t>al Secretariat Support Program in</w:t>
      </w:r>
      <w:r>
        <w:t xml:space="preserve"> the Department of Families, Community Services and Indigenous Affairs. </w:t>
      </w:r>
    </w:p>
    <w:p w:rsidR="00212CD5" w:rsidRDefault="00212CD5" w:rsidP="003E6CBD">
      <w:pPr>
        <w:pStyle w:val="Body"/>
      </w:pPr>
      <w:r>
        <w:t xml:space="preserve">Other </w:t>
      </w:r>
      <w:r w:rsidR="00C337EA">
        <w:t>important</w:t>
      </w:r>
      <w:r>
        <w:t xml:space="preserve"> organisations that only recently received renewed </w:t>
      </w:r>
      <w:r w:rsidR="00C337EA">
        <w:t>national secretariat funding</w:t>
      </w:r>
      <w:r>
        <w:t xml:space="preserve"> i</w:t>
      </w:r>
      <w:r w:rsidR="00327116">
        <w:t>nclude National Shelter</w:t>
      </w:r>
      <w:r w:rsidR="004C42C1">
        <w:t xml:space="preserve"> (Australa</w:t>
      </w:r>
      <w:r w:rsidR="006203EC">
        <w:t>s</w:t>
      </w:r>
      <w:r w:rsidR="004C42C1">
        <w:t>ia)</w:t>
      </w:r>
      <w:r w:rsidR="00327116">
        <w:t xml:space="preserve"> and the</w:t>
      </w:r>
      <w:r>
        <w:t xml:space="preserve"> </w:t>
      </w:r>
      <w:r w:rsidRPr="00327116">
        <w:t xml:space="preserve">Australian Youth </w:t>
      </w:r>
      <w:r w:rsidR="004C42C1">
        <w:t>Affairs</w:t>
      </w:r>
      <w:r w:rsidR="004C42C1" w:rsidRPr="00327116">
        <w:t xml:space="preserve"> </w:t>
      </w:r>
      <w:r w:rsidRPr="00327116">
        <w:t>Coalition</w:t>
      </w:r>
      <w:r w:rsidR="004C42C1">
        <w:t>, funded by the Department of Education, Employm</w:t>
      </w:r>
      <w:r w:rsidR="009634A5">
        <w:t xml:space="preserve">ent </w:t>
      </w:r>
      <w:r w:rsidR="004C42C1">
        <w:t>and Workplace Relations</w:t>
      </w:r>
      <w:r w:rsidRPr="00327116">
        <w:t>.</w:t>
      </w:r>
    </w:p>
    <w:p w:rsidR="00253C89" w:rsidRDefault="00253C89" w:rsidP="003E6CBD">
      <w:pPr>
        <w:pStyle w:val="Body"/>
      </w:pPr>
      <w:r>
        <w:t xml:space="preserve">NWRN proposes that from 1 January 2013 the Federal Government provide National Secretariat funding of $325,000 per annum to NWRN. </w:t>
      </w:r>
      <w:r w:rsidR="00B40515">
        <w:t>Rationale to support this funding proposal is</w:t>
      </w:r>
      <w:r>
        <w:t xml:space="preserve"> outlined below.</w:t>
      </w:r>
    </w:p>
    <w:p w:rsidR="00C337EA" w:rsidRDefault="00C337EA" w:rsidP="003E6CBD">
      <w:pPr>
        <w:pStyle w:val="Body"/>
      </w:pPr>
      <w:r>
        <w:t>The National Welfare Rights Network (</w:t>
      </w:r>
      <w:r w:rsidR="00B222FE">
        <w:t>NWRN</w:t>
      </w:r>
      <w:r>
        <w:t>)</w:t>
      </w:r>
      <w:r w:rsidR="00212CD5">
        <w:t xml:space="preserve"> </w:t>
      </w:r>
      <w:r>
        <w:t>has been incorporated since 200</w:t>
      </w:r>
      <w:r w:rsidR="00823684">
        <w:t>2</w:t>
      </w:r>
      <w:r>
        <w:t xml:space="preserve"> and is a peak </w:t>
      </w:r>
      <w:r w:rsidR="00327116">
        <w:t>body of specialist legal services</w:t>
      </w:r>
      <w:r>
        <w:t xml:space="preserve"> that work on social security and family assistance law and its administration by </w:t>
      </w:r>
      <w:proofErr w:type="spellStart"/>
      <w:r>
        <w:t>Centrelink</w:t>
      </w:r>
      <w:proofErr w:type="spellEnd"/>
      <w:r>
        <w:t xml:space="preserve">. </w:t>
      </w:r>
      <w:r w:rsidR="00327116">
        <w:t xml:space="preserve"> </w:t>
      </w:r>
      <w:r w:rsidR="00253C89">
        <w:t>While NWRN is recognised as a peak body it receives no Federal funding to assist in its functioning or to support its advice to government or industry.</w:t>
      </w:r>
    </w:p>
    <w:p w:rsidR="00830765" w:rsidRDefault="00253C89" w:rsidP="003E6CBD">
      <w:pPr>
        <w:pStyle w:val="Body"/>
      </w:pPr>
      <w:r>
        <w:t>NWRN plays a significant role in the community in which it is located.</w:t>
      </w:r>
      <w:r w:rsidR="004C42C1">
        <w:t xml:space="preserve"> </w:t>
      </w:r>
      <w:r w:rsidR="00FB750D">
        <w:t xml:space="preserve">NWRN is actively engaged in advice and policy work on general issues, such as income support, carer issues, employment, disability, housing and homelessness. </w:t>
      </w:r>
      <w:r w:rsidR="004C42C1">
        <w:t xml:space="preserve">NWRN </w:t>
      </w:r>
      <w:r w:rsidR="00FB750D">
        <w:t>expertise and focus includes ongoing work</w:t>
      </w:r>
      <w:r w:rsidR="004C42C1">
        <w:t xml:space="preserve"> in a number of areas of policy, law and service delivery</w:t>
      </w:r>
      <w:r w:rsidR="00FB750D" w:rsidRPr="00FB750D">
        <w:t xml:space="preserve"> </w:t>
      </w:r>
      <w:r w:rsidR="00FB750D">
        <w:t>which are addressed by few other organisations.</w:t>
      </w:r>
      <w:r w:rsidR="004C42C1">
        <w:t xml:space="preserve"> </w:t>
      </w:r>
      <w:r w:rsidR="00FB750D">
        <w:t xml:space="preserve">These include: </w:t>
      </w:r>
      <w:r w:rsidR="004C42C1">
        <w:t xml:space="preserve">social security overpayments, social security compliance, job seeker participation and </w:t>
      </w:r>
      <w:r w:rsidR="00FB750D">
        <w:t xml:space="preserve">penalties, social security prosecutions and </w:t>
      </w:r>
      <w:proofErr w:type="spellStart"/>
      <w:r w:rsidR="00FB750D">
        <w:t>Centrelink</w:t>
      </w:r>
      <w:proofErr w:type="spellEnd"/>
      <w:r w:rsidR="00FB750D">
        <w:t xml:space="preserve"> reviews and appeals. </w:t>
      </w:r>
    </w:p>
    <w:p w:rsidR="00327116" w:rsidRDefault="00212CD5" w:rsidP="003E6CBD">
      <w:pPr>
        <w:pStyle w:val="Body"/>
      </w:pPr>
      <w:r>
        <w:t>In addition to the unique casework that Welfare</w:t>
      </w:r>
      <w:r w:rsidR="00327116">
        <w:t xml:space="preserve"> Rights members</w:t>
      </w:r>
      <w:r w:rsidR="00253C89">
        <w:t xml:space="preserve"> provide</w:t>
      </w:r>
      <w:r w:rsidR="00327116">
        <w:t xml:space="preserve">, </w:t>
      </w:r>
      <w:r>
        <w:t xml:space="preserve">NWRN </w:t>
      </w:r>
      <w:r w:rsidR="00327116">
        <w:t>as the peak body deliver</w:t>
      </w:r>
      <w:r w:rsidR="00253C89">
        <w:t>s:</w:t>
      </w:r>
    </w:p>
    <w:p w:rsidR="00253C89" w:rsidRDefault="00253C89" w:rsidP="007F7EAE">
      <w:pPr>
        <w:pStyle w:val="Default"/>
        <w:numPr>
          <w:ilvl w:val="0"/>
          <w:numId w:val="19"/>
        </w:numPr>
        <w:jc w:val="both"/>
        <w:rPr>
          <w:sz w:val="22"/>
          <w:szCs w:val="22"/>
        </w:rPr>
      </w:pPr>
      <w:r>
        <w:rPr>
          <w:sz w:val="22"/>
          <w:szCs w:val="22"/>
        </w:rPr>
        <w:t>policy advice across income support, social security, housing, disability and employment services;</w:t>
      </w:r>
    </w:p>
    <w:p w:rsidR="00253C89" w:rsidRDefault="00212CD5" w:rsidP="007F7EAE">
      <w:pPr>
        <w:pStyle w:val="Default"/>
        <w:numPr>
          <w:ilvl w:val="0"/>
          <w:numId w:val="19"/>
        </w:numPr>
        <w:jc w:val="both"/>
        <w:rPr>
          <w:sz w:val="22"/>
          <w:szCs w:val="22"/>
        </w:rPr>
      </w:pPr>
      <w:r>
        <w:rPr>
          <w:sz w:val="22"/>
          <w:szCs w:val="22"/>
        </w:rPr>
        <w:t>strategic advice on service delivery</w:t>
      </w:r>
      <w:r w:rsidR="00253C89">
        <w:rPr>
          <w:sz w:val="22"/>
          <w:szCs w:val="22"/>
        </w:rPr>
        <w:t>;</w:t>
      </w:r>
    </w:p>
    <w:p w:rsidR="00327116" w:rsidRDefault="00327116" w:rsidP="007F7EAE">
      <w:pPr>
        <w:pStyle w:val="Default"/>
        <w:numPr>
          <w:ilvl w:val="0"/>
          <w:numId w:val="19"/>
        </w:numPr>
        <w:jc w:val="both"/>
        <w:rPr>
          <w:sz w:val="22"/>
          <w:szCs w:val="22"/>
        </w:rPr>
      </w:pPr>
      <w:r>
        <w:rPr>
          <w:sz w:val="22"/>
          <w:szCs w:val="22"/>
        </w:rPr>
        <w:t>feedback on people’s</w:t>
      </w:r>
      <w:r w:rsidR="00253C89">
        <w:rPr>
          <w:sz w:val="22"/>
          <w:szCs w:val="22"/>
        </w:rPr>
        <w:t xml:space="preserve"> experiences across a</w:t>
      </w:r>
      <w:r w:rsidR="00212CD5">
        <w:rPr>
          <w:sz w:val="22"/>
          <w:szCs w:val="22"/>
        </w:rPr>
        <w:t xml:space="preserve"> wide range of</w:t>
      </w:r>
      <w:r w:rsidR="00253C89">
        <w:rPr>
          <w:sz w:val="22"/>
          <w:szCs w:val="22"/>
        </w:rPr>
        <w:t xml:space="preserve"> Government policy departments; </w:t>
      </w:r>
    </w:p>
    <w:p w:rsidR="005F4A36" w:rsidRDefault="00327116" w:rsidP="007F7EAE">
      <w:pPr>
        <w:pStyle w:val="Default"/>
        <w:numPr>
          <w:ilvl w:val="0"/>
          <w:numId w:val="19"/>
        </w:numPr>
        <w:jc w:val="both"/>
        <w:rPr>
          <w:sz w:val="22"/>
          <w:szCs w:val="22"/>
        </w:rPr>
      </w:pPr>
      <w:r>
        <w:rPr>
          <w:sz w:val="22"/>
          <w:szCs w:val="22"/>
        </w:rPr>
        <w:t xml:space="preserve">representatives for government </w:t>
      </w:r>
      <w:r w:rsidR="00212CD5">
        <w:rPr>
          <w:sz w:val="22"/>
          <w:szCs w:val="22"/>
        </w:rPr>
        <w:t>work</w:t>
      </w:r>
      <w:r>
        <w:rPr>
          <w:sz w:val="22"/>
          <w:szCs w:val="22"/>
        </w:rPr>
        <w:t>ing parties and advisory groups;</w:t>
      </w:r>
      <w:r w:rsidR="00212CD5">
        <w:rPr>
          <w:sz w:val="22"/>
          <w:szCs w:val="22"/>
        </w:rPr>
        <w:t xml:space="preserve"> </w:t>
      </w:r>
    </w:p>
    <w:p w:rsidR="005F4A36" w:rsidRDefault="00212CD5" w:rsidP="007F7EAE">
      <w:pPr>
        <w:pStyle w:val="Default"/>
        <w:numPr>
          <w:ilvl w:val="0"/>
          <w:numId w:val="19"/>
        </w:numPr>
        <w:jc w:val="both"/>
        <w:rPr>
          <w:sz w:val="22"/>
          <w:szCs w:val="22"/>
        </w:rPr>
      </w:pPr>
      <w:r>
        <w:rPr>
          <w:sz w:val="22"/>
          <w:szCs w:val="22"/>
        </w:rPr>
        <w:t>advice and feedback to a broad</w:t>
      </w:r>
      <w:r w:rsidR="00327116">
        <w:rPr>
          <w:sz w:val="22"/>
          <w:szCs w:val="22"/>
        </w:rPr>
        <w:t xml:space="preserve"> range of Government inquiries</w:t>
      </w:r>
      <w:r w:rsidR="009126AD">
        <w:rPr>
          <w:sz w:val="22"/>
          <w:szCs w:val="22"/>
        </w:rPr>
        <w:t xml:space="preserve"> and reviews</w:t>
      </w:r>
      <w:r w:rsidR="00327116">
        <w:rPr>
          <w:sz w:val="22"/>
          <w:szCs w:val="22"/>
        </w:rPr>
        <w:t xml:space="preserve">; </w:t>
      </w:r>
    </w:p>
    <w:p w:rsidR="009126AD" w:rsidRDefault="009126AD" w:rsidP="007F7EAE">
      <w:pPr>
        <w:pStyle w:val="Default"/>
        <w:numPr>
          <w:ilvl w:val="0"/>
          <w:numId w:val="19"/>
        </w:numPr>
        <w:jc w:val="both"/>
        <w:rPr>
          <w:sz w:val="22"/>
          <w:szCs w:val="22"/>
        </w:rPr>
      </w:pPr>
      <w:r>
        <w:rPr>
          <w:sz w:val="22"/>
          <w:szCs w:val="22"/>
        </w:rPr>
        <w:t xml:space="preserve">a </w:t>
      </w:r>
      <w:r w:rsidR="00212CD5">
        <w:rPr>
          <w:sz w:val="22"/>
          <w:szCs w:val="22"/>
        </w:rPr>
        <w:t xml:space="preserve">credible </w:t>
      </w:r>
      <w:r>
        <w:rPr>
          <w:sz w:val="22"/>
          <w:szCs w:val="22"/>
        </w:rPr>
        <w:t>source of</w:t>
      </w:r>
      <w:r w:rsidRPr="009126AD">
        <w:rPr>
          <w:sz w:val="22"/>
          <w:szCs w:val="22"/>
        </w:rPr>
        <w:t xml:space="preserve"> </w:t>
      </w:r>
      <w:r>
        <w:rPr>
          <w:sz w:val="22"/>
          <w:szCs w:val="22"/>
        </w:rPr>
        <w:t>information  and advice on government policies and services for low income and disadvantaged Australians; and,</w:t>
      </w:r>
    </w:p>
    <w:p w:rsidR="005F4A36" w:rsidRDefault="009126AD" w:rsidP="007F7EAE">
      <w:pPr>
        <w:pStyle w:val="Default"/>
        <w:numPr>
          <w:ilvl w:val="0"/>
          <w:numId w:val="19"/>
        </w:numPr>
        <w:jc w:val="both"/>
        <w:rPr>
          <w:sz w:val="22"/>
          <w:szCs w:val="22"/>
        </w:rPr>
      </w:pPr>
      <w:proofErr w:type="gramStart"/>
      <w:r>
        <w:rPr>
          <w:sz w:val="22"/>
          <w:szCs w:val="22"/>
        </w:rPr>
        <w:t>a</w:t>
      </w:r>
      <w:proofErr w:type="gramEnd"/>
      <w:r>
        <w:rPr>
          <w:sz w:val="22"/>
          <w:szCs w:val="22"/>
        </w:rPr>
        <w:t xml:space="preserve"> voice that portrays the lived experiences of people on low incomes that challenges negative </w:t>
      </w:r>
      <w:r w:rsidR="00B40515">
        <w:rPr>
          <w:sz w:val="22"/>
          <w:szCs w:val="22"/>
        </w:rPr>
        <w:t>stereotypes and</w:t>
      </w:r>
      <w:r>
        <w:rPr>
          <w:sz w:val="22"/>
          <w:szCs w:val="22"/>
        </w:rPr>
        <w:t xml:space="preserve"> </w:t>
      </w:r>
      <w:r w:rsidR="00830765">
        <w:rPr>
          <w:sz w:val="22"/>
          <w:szCs w:val="22"/>
        </w:rPr>
        <w:t>inaccurate</w:t>
      </w:r>
      <w:r>
        <w:rPr>
          <w:sz w:val="22"/>
          <w:szCs w:val="22"/>
        </w:rPr>
        <w:t xml:space="preserve"> perceptions.</w:t>
      </w:r>
      <w:r w:rsidR="00327116">
        <w:rPr>
          <w:sz w:val="22"/>
          <w:szCs w:val="22"/>
        </w:rPr>
        <w:t xml:space="preserve"> </w:t>
      </w:r>
      <w:r w:rsidR="00212CD5">
        <w:rPr>
          <w:sz w:val="22"/>
          <w:szCs w:val="22"/>
        </w:rPr>
        <w:t xml:space="preserve"> </w:t>
      </w:r>
    </w:p>
    <w:p w:rsidR="005F4A36" w:rsidRDefault="005F4A36" w:rsidP="00212CD5">
      <w:pPr>
        <w:pStyle w:val="Default"/>
        <w:jc w:val="both"/>
        <w:rPr>
          <w:sz w:val="22"/>
          <w:szCs w:val="22"/>
        </w:rPr>
      </w:pPr>
    </w:p>
    <w:p w:rsidR="00212CD5" w:rsidRDefault="005F4A36" w:rsidP="003E6CBD">
      <w:pPr>
        <w:pStyle w:val="Body"/>
      </w:pPr>
      <w:r>
        <w:lastRenderedPageBreak/>
        <w:t xml:space="preserve">NWRN </w:t>
      </w:r>
      <w:r w:rsidR="00327116">
        <w:t>has</w:t>
      </w:r>
      <w:r w:rsidR="00212CD5">
        <w:t xml:space="preserve"> regular, ongoing contact with </w:t>
      </w:r>
      <w:proofErr w:type="spellStart"/>
      <w:r w:rsidR="00212CD5">
        <w:t>Centrelink</w:t>
      </w:r>
      <w:proofErr w:type="spellEnd"/>
      <w:r w:rsidR="00212CD5">
        <w:t xml:space="preserve"> (DHS) and, as the </w:t>
      </w:r>
      <w:proofErr w:type="spellStart"/>
      <w:r w:rsidR="009C3053">
        <w:t>Centrelink</w:t>
      </w:r>
      <w:proofErr w:type="spellEnd"/>
      <w:r w:rsidR="009C3053">
        <w:t xml:space="preserve"> A</w:t>
      </w:r>
      <w:r w:rsidR="00212CD5">
        <w:t xml:space="preserve">nnual </w:t>
      </w:r>
      <w:r w:rsidR="00830765">
        <w:t>R</w:t>
      </w:r>
      <w:r w:rsidR="00212CD5">
        <w:t>eport</w:t>
      </w:r>
      <w:r w:rsidR="00830765">
        <w:t>s</w:t>
      </w:r>
      <w:r w:rsidR="00212CD5">
        <w:t xml:space="preserve"> make clear, </w:t>
      </w:r>
      <w:r w:rsidR="00830765">
        <w:t xml:space="preserve">NWRN </w:t>
      </w:r>
      <w:r w:rsidR="009C3053">
        <w:t xml:space="preserve">plays an important role and </w:t>
      </w:r>
      <w:r w:rsidR="00212CD5">
        <w:t xml:space="preserve">is a key conduit for providing information to and from </w:t>
      </w:r>
      <w:proofErr w:type="spellStart"/>
      <w:r w:rsidR="00212CD5">
        <w:t>Centrelink</w:t>
      </w:r>
      <w:proofErr w:type="spellEnd"/>
      <w:r w:rsidR="00212CD5">
        <w:t xml:space="preserve"> about its services and </w:t>
      </w:r>
      <w:r w:rsidR="009C3053">
        <w:t xml:space="preserve">performance </w:t>
      </w:r>
      <w:r w:rsidR="00212CD5">
        <w:t>and how they can be</w:t>
      </w:r>
      <w:r w:rsidR="009C3053">
        <w:t xml:space="preserve"> en</w:t>
      </w:r>
      <w:r w:rsidR="00830765">
        <w:t>h</w:t>
      </w:r>
      <w:r w:rsidR="009C3053">
        <w:t>anced and</w:t>
      </w:r>
      <w:r w:rsidR="00212CD5">
        <w:t xml:space="preserve"> improved</w:t>
      </w:r>
      <w:r w:rsidR="009C3053">
        <w:t xml:space="preserve"> to better meet community needs and expectations</w:t>
      </w:r>
      <w:r w:rsidR="00212CD5">
        <w:t xml:space="preserve">. </w:t>
      </w:r>
    </w:p>
    <w:p w:rsidR="00212CD5" w:rsidRDefault="00212CD5" w:rsidP="003E6CBD">
      <w:pPr>
        <w:pStyle w:val="Body"/>
      </w:pPr>
      <w:r>
        <w:t xml:space="preserve">In addition, NWRN </w:t>
      </w:r>
      <w:r w:rsidR="009C3053">
        <w:t xml:space="preserve">fosters and </w:t>
      </w:r>
      <w:r w:rsidR="00253C89">
        <w:t>mai</w:t>
      </w:r>
      <w:r>
        <w:t>ntains strong links with a wide variety of community</w:t>
      </w:r>
      <w:r w:rsidR="009C3053">
        <w:t xml:space="preserve">, </w:t>
      </w:r>
      <w:r>
        <w:t xml:space="preserve">stakeholder and </w:t>
      </w:r>
      <w:r w:rsidR="00327116">
        <w:t>consumer organisations</w:t>
      </w:r>
      <w:r w:rsidR="009C3053">
        <w:t>,</w:t>
      </w:r>
      <w:r w:rsidR="00327116">
        <w:t xml:space="preserve"> </w:t>
      </w:r>
      <w:r w:rsidR="00B40515">
        <w:t>which</w:t>
      </w:r>
      <w:r w:rsidR="009C3053">
        <w:t xml:space="preserve"> often</w:t>
      </w:r>
      <w:r>
        <w:t xml:space="preserve"> look to</w:t>
      </w:r>
      <w:r w:rsidR="009C3053">
        <w:t xml:space="preserve"> and expect</w:t>
      </w:r>
      <w:r>
        <w:t xml:space="preserve"> our organisation to pay close attention to social security policy and related reforms that are being </w:t>
      </w:r>
      <w:r w:rsidR="009C3053">
        <w:t xml:space="preserve">discussed publicly or </w:t>
      </w:r>
      <w:r>
        <w:t>considered</w:t>
      </w:r>
      <w:r w:rsidR="009C3053">
        <w:t xml:space="preserve"> by Government</w:t>
      </w:r>
      <w:r>
        <w:t>.</w:t>
      </w:r>
    </w:p>
    <w:p w:rsidR="00212CD5" w:rsidRDefault="00212CD5" w:rsidP="003E6CBD">
      <w:pPr>
        <w:pStyle w:val="Body"/>
      </w:pPr>
      <w:r>
        <w:t xml:space="preserve">As well as closely </w:t>
      </w:r>
      <w:r w:rsidR="005B0AE8">
        <w:t xml:space="preserve">collaborating </w:t>
      </w:r>
      <w:r>
        <w:t xml:space="preserve">with </w:t>
      </w:r>
      <w:r w:rsidR="005B0AE8">
        <w:t xml:space="preserve">a broad range of </w:t>
      </w:r>
      <w:r>
        <w:t xml:space="preserve">community </w:t>
      </w:r>
      <w:r w:rsidR="005B0AE8">
        <w:t xml:space="preserve">sector </w:t>
      </w:r>
      <w:r>
        <w:t xml:space="preserve">organisations, </w:t>
      </w:r>
      <w:r w:rsidR="005F4A36">
        <w:t>NWRN</w:t>
      </w:r>
      <w:r>
        <w:t xml:space="preserve"> also maintain</w:t>
      </w:r>
      <w:r w:rsidR="005F4A36">
        <w:t xml:space="preserve">s </w:t>
      </w:r>
      <w:r>
        <w:t>strong and productive relationships</w:t>
      </w:r>
      <w:r w:rsidR="00345AEC">
        <w:t xml:space="preserve"> with</w:t>
      </w:r>
      <w:r>
        <w:t xml:space="preserve"> employment service provide</w:t>
      </w:r>
      <w:r w:rsidR="005F4A36">
        <w:t>r</w:t>
      </w:r>
      <w:r>
        <w:t xml:space="preserve"> peaks and organisations</w:t>
      </w:r>
      <w:r w:rsidR="005B0AE8">
        <w:t>.</w:t>
      </w:r>
      <w:r w:rsidR="00345AEC">
        <w:t xml:space="preserve"> NWRN also engages</w:t>
      </w:r>
      <w:r>
        <w:t xml:space="preserve"> with the main departments </w:t>
      </w:r>
      <w:r w:rsidR="009C3053">
        <w:t xml:space="preserve">and agencies </w:t>
      </w:r>
      <w:r>
        <w:t xml:space="preserve">with responsibility for </w:t>
      </w:r>
      <w:r w:rsidR="009C3053">
        <w:t xml:space="preserve">income support, </w:t>
      </w:r>
      <w:r>
        <w:t xml:space="preserve">social policy and </w:t>
      </w:r>
      <w:r w:rsidR="009C3053">
        <w:t xml:space="preserve">participation and </w:t>
      </w:r>
      <w:r>
        <w:t>engagement in Australia. The</w:t>
      </w:r>
      <w:r w:rsidR="00345AEC">
        <w:t>y</w:t>
      </w:r>
      <w:r w:rsidR="009C3053">
        <w:t xml:space="preserve"> </w:t>
      </w:r>
      <w:r>
        <w:t xml:space="preserve">include: </w:t>
      </w:r>
      <w:r w:rsidR="009C3053">
        <w:t xml:space="preserve">the </w:t>
      </w:r>
      <w:r>
        <w:t xml:space="preserve">Department of Human Services, Department of Families, </w:t>
      </w:r>
      <w:r w:rsidR="009C3053">
        <w:t xml:space="preserve">Housing, </w:t>
      </w:r>
      <w:r>
        <w:t>Community Services and Indigenous Affairs and the Department of Education, Employment and Workplace Relations.</w:t>
      </w:r>
    </w:p>
    <w:p w:rsidR="00212CD5" w:rsidRDefault="00212CD5" w:rsidP="003E6CBD">
      <w:pPr>
        <w:pStyle w:val="Body"/>
      </w:pPr>
      <w:r>
        <w:t xml:space="preserve">NWRN members currently sit on more than 20 local, state or national </w:t>
      </w:r>
      <w:proofErr w:type="spellStart"/>
      <w:r>
        <w:t>Centrelink</w:t>
      </w:r>
      <w:proofErr w:type="spellEnd"/>
      <w:r>
        <w:t xml:space="preserve"> advisory bodies or working parties. </w:t>
      </w:r>
    </w:p>
    <w:p w:rsidR="00212CD5" w:rsidRDefault="00212CD5" w:rsidP="003E6CBD">
      <w:pPr>
        <w:pStyle w:val="Body"/>
      </w:pPr>
      <w:r>
        <w:t xml:space="preserve">NWRN’s activities and achievements are too numerous to detail and often go unheralded, but our work </w:t>
      </w:r>
      <w:r w:rsidR="007F7EAE">
        <w:t>is</w:t>
      </w:r>
      <w:r>
        <w:t xml:space="preserve"> </w:t>
      </w:r>
      <w:r w:rsidR="007F7EAE">
        <w:t>extensive</w:t>
      </w:r>
      <w:r w:rsidR="009C3053">
        <w:t xml:space="preserve">, </w:t>
      </w:r>
      <w:r>
        <w:t>considerable</w:t>
      </w:r>
      <w:r w:rsidR="009C3053">
        <w:t xml:space="preserve"> and credible</w:t>
      </w:r>
      <w:r>
        <w:t>.</w:t>
      </w:r>
      <w:r w:rsidR="00327116">
        <w:t xml:space="preserve">  </w:t>
      </w:r>
      <w:r>
        <w:t xml:space="preserve"> </w:t>
      </w:r>
      <w:r w:rsidR="005F4A36">
        <w:t>As specialists and experts on social security law, NWRN frequently focuses attention on critical and</w:t>
      </w:r>
      <w:r>
        <w:t xml:space="preserve"> important matter</w:t>
      </w:r>
      <w:r w:rsidR="005F4A36">
        <w:t>s that can be overlooked.</w:t>
      </w:r>
      <w:r w:rsidR="00327116">
        <w:t xml:space="preserve"> </w:t>
      </w:r>
      <w:r w:rsidR="005F4A36">
        <w:t xml:space="preserve"> One such important area</w:t>
      </w:r>
      <w:r>
        <w:t xml:space="preserve"> </w:t>
      </w:r>
      <w:r w:rsidR="005F4A36">
        <w:t>that has been a focus of dedicated work over many years is</w:t>
      </w:r>
      <w:r w:rsidR="00327116">
        <w:t xml:space="preserve"> the issue </w:t>
      </w:r>
      <w:r w:rsidR="005F4A36">
        <w:t>of debts</w:t>
      </w:r>
      <w:r w:rsidR="00327116">
        <w:t xml:space="preserve"> to </w:t>
      </w:r>
      <w:proofErr w:type="spellStart"/>
      <w:r w:rsidR="00327116">
        <w:t>Centrelink</w:t>
      </w:r>
      <w:proofErr w:type="spellEnd"/>
      <w:r w:rsidR="005F4A36">
        <w:t>, overpayments and prosecutions.</w:t>
      </w:r>
      <w:r w:rsidR="00327116">
        <w:t xml:space="preserve">  </w:t>
      </w:r>
      <w:r>
        <w:t xml:space="preserve"> NWRN facilitated coordinated meetings across Government departments and agencies to address unfairness in the current debt waiver rules. A 2010 Senate Legal and Constitutional Affairs inquiry supported reforming the debt waiver rules along the lines proposed by NWRN, and the Government has indicated a willingness to address the deficiencies in the existing policies.</w:t>
      </w:r>
    </w:p>
    <w:p w:rsidR="00210F0D" w:rsidRPr="003E6CBD" w:rsidRDefault="007F7EAE" w:rsidP="003E6CBD">
      <w:pPr>
        <w:pStyle w:val="Body"/>
        <w:rPr>
          <w:rFonts w:cstheme="minorHAnsi"/>
          <w:b/>
        </w:rPr>
      </w:pPr>
      <w:r w:rsidRPr="00210F0D">
        <w:rPr>
          <w:rFonts w:cstheme="minorHAnsi"/>
        </w:rPr>
        <w:t>NWRN</w:t>
      </w:r>
      <w:r w:rsidR="00212CD5" w:rsidRPr="00210F0D">
        <w:rPr>
          <w:rFonts w:cstheme="minorHAnsi"/>
        </w:rPr>
        <w:t xml:space="preserve"> work</w:t>
      </w:r>
      <w:r w:rsidRPr="00210F0D">
        <w:rPr>
          <w:rFonts w:cstheme="minorHAnsi"/>
        </w:rPr>
        <w:t>s</w:t>
      </w:r>
      <w:r w:rsidR="00212CD5" w:rsidRPr="00210F0D">
        <w:rPr>
          <w:rFonts w:cstheme="minorHAnsi"/>
        </w:rPr>
        <w:t xml:space="preserve"> within our limited means to draw attention to Government services and policies which need improving</w:t>
      </w:r>
      <w:r w:rsidRPr="00210F0D">
        <w:rPr>
          <w:rFonts w:cstheme="minorHAnsi"/>
        </w:rPr>
        <w:t xml:space="preserve">. </w:t>
      </w:r>
      <w:r w:rsidR="00327116" w:rsidRPr="00210F0D">
        <w:rPr>
          <w:rFonts w:cstheme="minorHAnsi"/>
        </w:rPr>
        <w:t xml:space="preserve">  </w:t>
      </w:r>
      <w:r w:rsidRPr="00210F0D">
        <w:rPr>
          <w:rFonts w:cstheme="minorHAnsi"/>
        </w:rPr>
        <w:t xml:space="preserve">NWRN members close contact with </w:t>
      </w:r>
      <w:r w:rsidR="00560133" w:rsidRPr="00210F0D">
        <w:rPr>
          <w:rFonts w:cstheme="minorHAnsi"/>
        </w:rPr>
        <w:t>people receiving income support payments means that, a</w:t>
      </w:r>
      <w:r w:rsidRPr="00210F0D">
        <w:rPr>
          <w:rFonts w:cstheme="minorHAnsi"/>
        </w:rPr>
        <w:t>t times, w</w:t>
      </w:r>
      <w:r w:rsidR="00212CD5" w:rsidRPr="00210F0D">
        <w:rPr>
          <w:rFonts w:cstheme="minorHAnsi"/>
        </w:rPr>
        <w:t>e are able to alert Government when policies are misunderstood, or have unintended consequences. Our voice and views</w:t>
      </w:r>
      <w:r w:rsidR="00560133" w:rsidRPr="00210F0D">
        <w:rPr>
          <w:rFonts w:cstheme="minorHAnsi"/>
        </w:rPr>
        <w:t>, and our policy proposals for law reform and policy renewal</w:t>
      </w:r>
      <w:r w:rsidR="00212CD5" w:rsidRPr="00210F0D">
        <w:rPr>
          <w:rFonts w:cstheme="minorHAnsi"/>
        </w:rPr>
        <w:t xml:space="preserve"> </w:t>
      </w:r>
      <w:r w:rsidR="00560133" w:rsidRPr="00210F0D">
        <w:rPr>
          <w:rFonts w:cstheme="minorHAnsi"/>
        </w:rPr>
        <w:t>stem directly</w:t>
      </w:r>
      <w:r w:rsidR="00212CD5" w:rsidRPr="00210F0D">
        <w:rPr>
          <w:rFonts w:cstheme="minorHAnsi"/>
        </w:rPr>
        <w:t xml:space="preserve"> from the experiences of many of the disadvantaged Australians who </w:t>
      </w:r>
      <w:r w:rsidR="00560133" w:rsidRPr="00210F0D">
        <w:rPr>
          <w:rFonts w:cstheme="minorHAnsi"/>
        </w:rPr>
        <w:t xml:space="preserve">regularly </w:t>
      </w:r>
      <w:r w:rsidR="00212CD5" w:rsidRPr="00210F0D">
        <w:rPr>
          <w:rFonts w:cstheme="minorHAnsi"/>
        </w:rPr>
        <w:t xml:space="preserve">seek our advice and assistance. </w:t>
      </w:r>
    </w:p>
    <w:p w:rsidR="00E22AE6" w:rsidRPr="00E8597E" w:rsidRDefault="00E22AE6" w:rsidP="00E8597E">
      <w:pPr>
        <w:pStyle w:val="Heading2"/>
        <w:numPr>
          <w:ilvl w:val="1"/>
          <w:numId w:val="25"/>
        </w:numPr>
        <w:ind w:left="567" w:hanging="567"/>
      </w:pPr>
      <w:bookmarkStart w:id="8" w:name="_Toc315947182"/>
      <w:r w:rsidRPr="00E8597E">
        <w:t>Snapshot of NWRN activities</w:t>
      </w:r>
      <w:bookmarkEnd w:id="8"/>
    </w:p>
    <w:p w:rsidR="00314A45" w:rsidRPr="003E6CBD" w:rsidRDefault="00E22AE6" w:rsidP="003E6CBD">
      <w:pPr>
        <w:pStyle w:val="Body"/>
      </w:pPr>
      <w:r w:rsidRPr="00CF7010">
        <w:t>Below we include a snapshot of NWRN submissions, media releases and an o</w:t>
      </w:r>
      <w:r w:rsidR="00314A45">
        <w:t xml:space="preserve">utline of some of the </w:t>
      </w:r>
      <w:r w:rsidR="005B0AE8">
        <w:t>c</w:t>
      </w:r>
      <w:r w:rsidR="00314A45">
        <w:t>ommittee</w:t>
      </w:r>
      <w:r w:rsidRPr="00CF7010">
        <w:t>s that NWRN members were involved on over the last year.</w:t>
      </w:r>
    </w:p>
    <w:p w:rsidR="00314A45" w:rsidRPr="003E6CBD" w:rsidRDefault="00314A45" w:rsidP="00E8597E">
      <w:pPr>
        <w:pStyle w:val="Heading3"/>
      </w:pPr>
      <w:r>
        <w:t>Policy and other submissions</w:t>
      </w:r>
    </w:p>
    <w:p w:rsidR="00314A45" w:rsidRPr="00CF7010" w:rsidRDefault="00314A45" w:rsidP="003E6CBD">
      <w:pPr>
        <w:pStyle w:val="Body"/>
      </w:pPr>
      <w:r w:rsidRPr="00CF7010">
        <w:t>The major submissions during 2010-11 are listed below</w:t>
      </w:r>
      <w:r w:rsidR="00210F0D">
        <w:t>:</w:t>
      </w:r>
    </w:p>
    <w:p w:rsidR="00314A45" w:rsidRPr="00CF7010" w:rsidRDefault="00314A45" w:rsidP="00314A45">
      <w:pPr>
        <w:numPr>
          <w:ilvl w:val="0"/>
          <w:numId w:val="21"/>
        </w:numPr>
        <w:rPr>
          <w:rFonts w:ascii="Calibri" w:hAnsi="Calibri" w:cs="Calibri"/>
          <w:bCs/>
          <w:sz w:val="22"/>
          <w:szCs w:val="22"/>
        </w:rPr>
      </w:pPr>
      <w:r w:rsidRPr="00CF7010">
        <w:rPr>
          <w:rFonts w:ascii="Calibri" w:hAnsi="Calibri" w:cs="Calibri"/>
          <w:bCs/>
          <w:sz w:val="22"/>
          <w:szCs w:val="22"/>
        </w:rPr>
        <w:t>2010 Federal Election Policy Platform</w:t>
      </w:r>
    </w:p>
    <w:p w:rsidR="00314A45" w:rsidRPr="00CF7010" w:rsidRDefault="00314A45" w:rsidP="00314A45">
      <w:pPr>
        <w:numPr>
          <w:ilvl w:val="0"/>
          <w:numId w:val="21"/>
        </w:numPr>
        <w:rPr>
          <w:rFonts w:ascii="Calibri" w:hAnsi="Calibri" w:cs="Calibri"/>
          <w:bCs/>
          <w:sz w:val="22"/>
          <w:szCs w:val="22"/>
        </w:rPr>
      </w:pPr>
      <w:r w:rsidRPr="00CF7010">
        <w:rPr>
          <w:rFonts w:ascii="Calibri" w:hAnsi="Calibri" w:cs="Calibri"/>
          <w:bCs/>
          <w:sz w:val="22"/>
          <w:szCs w:val="22"/>
        </w:rPr>
        <w:t>Submission to the Independent Review into Job Seeker Compliance</w:t>
      </w:r>
    </w:p>
    <w:p w:rsidR="00314A45" w:rsidRPr="00CF7010" w:rsidRDefault="00314A45" w:rsidP="00314A45">
      <w:pPr>
        <w:numPr>
          <w:ilvl w:val="0"/>
          <w:numId w:val="21"/>
        </w:numPr>
        <w:rPr>
          <w:rFonts w:ascii="Calibri" w:hAnsi="Calibri" w:cs="Calibri"/>
          <w:bCs/>
          <w:sz w:val="22"/>
          <w:szCs w:val="22"/>
        </w:rPr>
      </w:pPr>
      <w:r w:rsidRPr="00CF7010">
        <w:rPr>
          <w:rFonts w:ascii="Calibri" w:hAnsi="Calibri" w:cs="Calibri"/>
          <w:bCs/>
          <w:sz w:val="22"/>
          <w:szCs w:val="22"/>
        </w:rPr>
        <w:lastRenderedPageBreak/>
        <w:t>Submission to Senate Legal and Constitutional Affairs Inquiry into Government Compensation Schemes</w:t>
      </w:r>
    </w:p>
    <w:p w:rsidR="00314A45" w:rsidRPr="00CF7010" w:rsidRDefault="00314A45" w:rsidP="00314A45">
      <w:pPr>
        <w:numPr>
          <w:ilvl w:val="0"/>
          <w:numId w:val="21"/>
        </w:numPr>
        <w:rPr>
          <w:rFonts w:ascii="Calibri" w:hAnsi="Calibri" w:cs="Calibri"/>
          <w:bCs/>
          <w:sz w:val="22"/>
          <w:szCs w:val="22"/>
        </w:rPr>
      </w:pPr>
      <w:r w:rsidRPr="00CF7010">
        <w:rPr>
          <w:rFonts w:ascii="Calibri" w:hAnsi="Calibri" w:cs="Calibri"/>
          <w:bCs/>
          <w:sz w:val="22"/>
          <w:szCs w:val="22"/>
        </w:rPr>
        <w:t>Submission to House of Representatives Community Affairs Committee Inquiry into a Children’s Commissioner</w:t>
      </w:r>
    </w:p>
    <w:p w:rsidR="00314A45" w:rsidRPr="00CF7010" w:rsidRDefault="00314A45" w:rsidP="00314A45">
      <w:pPr>
        <w:numPr>
          <w:ilvl w:val="0"/>
          <w:numId w:val="21"/>
        </w:numPr>
        <w:rPr>
          <w:rFonts w:ascii="Calibri" w:hAnsi="Calibri" w:cs="Calibri"/>
          <w:bCs/>
          <w:sz w:val="22"/>
          <w:szCs w:val="22"/>
        </w:rPr>
      </w:pPr>
      <w:r w:rsidRPr="00CF7010">
        <w:rPr>
          <w:rFonts w:ascii="Calibri" w:hAnsi="Calibri" w:cs="Calibri"/>
          <w:bCs/>
          <w:sz w:val="22"/>
          <w:szCs w:val="22"/>
        </w:rPr>
        <w:t>Non-Government Organisation’s Submission to U</w:t>
      </w:r>
      <w:r w:rsidR="00210F0D">
        <w:rPr>
          <w:rFonts w:ascii="Calibri" w:hAnsi="Calibri" w:cs="Calibri"/>
          <w:bCs/>
          <w:sz w:val="22"/>
          <w:szCs w:val="22"/>
        </w:rPr>
        <w:t>N</w:t>
      </w:r>
      <w:r w:rsidRPr="00CF7010">
        <w:rPr>
          <w:rFonts w:ascii="Calibri" w:hAnsi="Calibri" w:cs="Calibri"/>
          <w:bCs/>
          <w:sz w:val="22"/>
          <w:szCs w:val="22"/>
        </w:rPr>
        <w:t xml:space="preserve"> Committee on the Rights of the Child</w:t>
      </w:r>
    </w:p>
    <w:p w:rsidR="00314A45" w:rsidRPr="00CF7010" w:rsidRDefault="00314A45" w:rsidP="00314A45">
      <w:pPr>
        <w:numPr>
          <w:ilvl w:val="0"/>
          <w:numId w:val="21"/>
        </w:numPr>
        <w:rPr>
          <w:rFonts w:ascii="Calibri" w:hAnsi="Calibri" w:cs="Calibri"/>
          <w:bCs/>
          <w:sz w:val="22"/>
          <w:szCs w:val="22"/>
        </w:rPr>
      </w:pPr>
      <w:r w:rsidRPr="00CF7010">
        <w:rPr>
          <w:rFonts w:ascii="Calibri" w:hAnsi="Calibri" w:cs="Calibri"/>
          <w:bCs/>
          <w:sz w:val="22"/>
          <w:szCs w:val="22"/>
        </w:rPr>
        <w:t>Submission to Australian Law Reform Commission Discussion Paper – Family Violence and Social Security Law</w:t>
      </w:r>
    </w:p>
    <w:p w:rsidR="00314A45" w:rsidRPr="00CF7010" w:rsidRDefault="00314A45" w:rsidP="00314A45">
      <w:pPr>
        <w:numPr>
          <w:ilvl w:val="0"/>
          <w:numId w:val="21"/>
        </w:numPr>
        <w:rPr>
          <w:rFonts w:ascii="Calibri" w:hAnsi="Calibri" w:cs="Calibri"/>
          <w:sz w:val="22"/>
          <w:szCs w:val="22"/>
        </w:rPr>
      </w:pPr>
      <w:r w:rsidRPr="00CF7010">
        <w:rPr>
          <w:rFonts w:ascii="Calibri" w:hAnsi="Calibri" w:cs="Calibri"/>
          <w:sz w:val="22"/>
          <w:szCs w:val="22"/>
        </w:rPr>
        <w:t>Submission to Joint Parliamentary Inquiry into Gambling (including the pre-commitment scheme)</w:t>
      </w:r>
    </w:p>
    <w:p w:rsidR="00314A45" w:rsidRPr="00CF7010" w:rsidRDefault="00314A45" w:rsidP="00314A45">
      <w:pPr>
        <w:numPr>
          <w:ilvl w:val="0"/>
          <w:numId w:val="21"/>
        </w:numPr>
        <w:rPr>
          <w:rFonts w:ascii="Calibri" w:hAnsi="Calibri" w:cs="Calibri"/>
          <w:sz w:val="22"/>
          <w:szCs w:val="22"/>
        </w:rPr>
      </w:pPr>
      <w:r w:rsidRPr="00CF7010">
        <w:rPr>
          <w:rFonts w:ascii="Calibri" w:hAnsi="Calibri" w:cs="Calibri"/>
          <w:sz w:val="22"/>
          <w:szCs w:val="22"/>
        </w:rPr>
        <w:t>Submission to Social Security Legislation Amendment Bill Job Seeker Compliance Bill, 2011</w:t>
      </w:r>
    </w:p>
    <w:p w:rsidR="00314A45" w:rsidRPr="00CF7010" w:rsidRDefault="00314A45" w:rsidP="00314A45">
      <w:pPr>
        <w:pStyle w:val="ListParagraph"/>
        <w:numPr>
          <w:ilvl w:val="0"/>
          <w:numId w:val="21"/>
        </w:numPr>
        <w:spacing w:line="276" w:lineRule="auto"/>
        <w:jc w:val="left"/>
        <w:rPr>
          <w:rFonts w:ascii="Calibri" w:hAnsi="Calibri" w:cs="Calibri"/>
          <w:sz w:val="22"/>
          <w:szCs w:val="22"/>
        </w:rPr>
      </w:pPr>
      <w:r w:rsidRPr="00CF7010">
        <w:rPr>
          <w:rFonts w:ascii="Calibri" w:hAnsi="Calibri" w:cs="Calibri"/>
          <w:sz w:val="22"/>
          <w:szCs w:val="22"/>
        </w:rPr>
        <w:t>2011-12 Federal Budget Priorities Policy Statement</w:t>
      </w:r>
    </w:p>
    <w:p w:rsidR="00314A45" w:rsidRPr="00CF7010" w:rsidRDefault="00314A45" w:rsidP="00314A45">
      <w:pPr>
        <w:pStyle w:val="ListParagraph"/>
        <w:numPr>
          <w:ilvl w:val="0"/>
          <w:numId w:val="21"/>
        </w:numPr>
        <w:spacing w:line="276" w:lineRule="auto"/>
        <w:jc w:val="left"/>
        <w:rPr>
          <w:rFonts w:ascii="Calibri" w:hAnsi="Calibri" w:cs="Calibri"/>
          <w:sz w:val="22"/>
          <w:szCs w:val="22"/>
        </w:rPr>
      </w:pPr>
      <w:r w:rsidRPr="00CF7010">
        <w:rPr>
          <w:rFonts w:ascii="Calibri" w:hAnsi="Calibri" w:cs="Calibri"/>
          <w:sz w:val="22"/>
          <w:szCs w:val="22"/>
        </w:rPr>
        <w:t>2011-12 Federal Budget NWRN services and secretariat funding submission</w:t>
      </w:r>
    </w:p>
    <w:p w:rsidR="00314A45" w:rsidRPr="00CF7010" w:rsidRDefault="00314A45" w:rsidP="00314A45">
      <w:pPr>
        <w:pStyle w:val="ListParagraph"/>
        <w:numPr>
          <w:ilvl w:val="0"/>
          <w:numId w:val="21"/>
        </w:numPr>
        <w:spacing w:line="276" w:lineRule="auto"/>
        <w:jc w:val="left"/>
        <w:rPr>
          <w:rFonts w:ascii="Calibri" w:hAnsi="Calibri" w:cs="Calibri"/>
          <w:i/>
          <w:iCs/>
          <w:sz w:val="22"/>
          <w:szCs w:val="22"/>
        </w:rPr>
      </w:pPr>
      <w:r w:rsidRPr="00CF7010">
        <w:rPr>
          <w:rFonts w:ascii="Calibri" w:hAnsi="Calibri" w:cs="Calibri"/>
          <w:sz w:val="22"/>
          <w:szCs w:val="22"/>
        </w:rPr>
        <w:t xml:space="preserve">Submission to the Minister for Employment Participation: </w:t>
      </w:r>
      <w:r w:rsidRPr="00CF7010">
        <w:rPr>
          <w:rFonts w:ascii="Calibri" w:hAnsi="Calibri" w:cs="Calibri"/>
          <w:i/>
          <w:iCs/>
          <w:sz w:val="22"/>
          <w:szCs w:val="22"/>
        </w:rPr>
        <w:t>The future of employment services, 2012-2015</w:t>
      </w:r>
    </w:p>
    <w:p w:rsidR="00314A45" w:rsidRPr="00CF7010" w:rsidRDefault="00314A45" w:rsidP="00314A45">
      <w:pPr>
        <w:numPr>
          <w:ilvl w:val="0"/>
          <w:numId w:val="21"/>
        </w:numPr>
        <w:rPr>
          <w:rFonts w:ascii="Calibri" w:hAnsi="Calibri" w:cs="Calibri"/>
          <w:sz w:val="22"/>
          <w:szCs w:val="22"/>
        </w:rPr>
      </w:pPr>
      <w:r w:rsidRPr="00CF7010">
        <w:rPr>
          <w:rFonts w:ascii="Calibri" w:hAnsi="Calibri" w:cs="Calibri"/>
          <w:sz w:val="22"/>
          <w:szCs w:val="22"/>
        </w:rPr>
        <w:t>Appearance before the House of Representatives Standing Committee on Education, Employment and Workplace Relations - Jobseeker compliance Bill, Canberra</w:t>
      </w:r>
    </w:p>
    <w:p w:rsidR="00314A45" w:rsidRDefault="00314A45" w:rsidP="00314A45">
      <w:pPr>
        <w:numPr>
          <w:ilvl w:val="0"/>
          <w:numId w:val="21"/>
        </w:numPr>
        <w:rPr>
          <w:rFonts w:ascii="Calibri" w:hAnsi="Calibri" w:cs="Calibri"/>
          <w:sz w:val="22"/>
          <w:szCs w:val="22"/>
        </w:rPr>
      </w:pPr>
      <w:r w:rsidRPr="00CF7010">
        <w:rPr>
          <w:rFonts w:ascii="Calibri" w:hAnsi="Calibri" w:cs="Calibri"/>
          <w:sz w:val="22"/>
          <w:szCs w:val="22"/>
        </w:rPr>
        <w:t>Submission to Family Assistance and Other Legislation Amendment Bill 2011</w:t>
      </w:r>
    </w:p>
    <w:p w:rsidR="005B0AE8" w:rsidRPr="005B0AE8" w:rsidRDefault="005B0AE8" w:rsidP="005B0AE8">
      <w:pPr>
        <w:numPr>
          <w:ilvl w:val="0"/>
          <w:numId w:val="21"/>
        </w:numPr>
        <w:rPr>
          <w:rFonts w:ascii="Calibri" w:hAnsi="Calibri" w:cs="Calibri"/>
          <w:bCs/>
          <w:sz w:val="22"/>
          <w:szCs w:val="22"/>
        </w:rPr>
      </w:pPr>
      <w:r>
        <w:rPr>
          <w:rFonts w:ascii="Calibri" w:hAnsi="Calibri" w:cs="Calibri"/>
          <w:sz w:val="22"/>
          <w:szCs w:val="22"/>
        </w:rPr>
        <w:t xml:space="preserve">Final submission </w:t>
      </w:r>
      <w:r w:rsidRPr="00CF7010">
        <w:rPr>
          <w:rFonts w:ascii="Calibri" w:hAnsi="Calibri" w:cs="Calibri"/>
          <w:bCs/>
          <w:sz w:val="22"/>
          <w:szCs w:val="22"/>
        </w:rPr>
        <w:t>Australian Law Reform Commission Discussion Paper – Family Violence and Social Security Law</w:t>
      </w:r>
    </w:p>
    <w:p w:rsidR="00314A45" w:rsidRPr="00CF7010" w:rsidRDefault="00314A45" w:rsidP="00314A45">
      <w:pPr>
        <w:numPr>
          <w:ilvl w:val="0"/>
          <w:numId w:val="21"/>
        </w:numPr>
        <w:autoSpaceDE w:val="0"/>
        <w:autoSpaceDN w:val="0"/>
        <w:rPr>
          <w:rFonts w:ascii="Calibri" w:hAnsi="Calibri" w:cs="Calibri"/>
          <w:sz w:val="22"/>
          <w:szCs w:val="22"/>
        </w:rPr>
      </w:pPr>
      <w:r w:rsidRPr="00CF7010">
        <w:rPr>
          <w:rFonts w:ascii="Calibri" w:hAnsi="Calibri" w:cs="Calibri"/>
          <w:sz w:val="22"/>
          <w:szCs w:val="22"/>
        </w:rPr>
        <w:t xml:space="preserve">Submission to Senate Standing Committee on Economics re: Inquiry into Schedule 4 of the </w:t>
      </w:r>
      <w:r w:rsidRPr="00CF7010">
        <w:rPr>
          <w:rFonts w:ascii="Calibri" w:hAnsi="Calibri" w:cs="Calibri"/>
          <w:i/>
          <w:iCs/>
          <w:sz w:val="22"/>
          <w:szCs w:val="22"/>
        </w:rPr>
        <w:t>Families, Housing, Community Services and Indigenous Affairs and Other Legislation Amendment (Further Election Commitments and Other Measure) Bill 2011</w:t>
      </w:r>
    </w:p>
    <w:p w:rsidR="00314A45" w:rsidRPr="00CF7010" w:rsidRDefault="00314A45" w:rsidP="00314A45">
      <w:pPr>
        <w:numPr>
          <w:ilvl w:val="0"/>
          <w:numId w:val="21"/>
        </w:numPr>
        <w:autoSpaceDE w:val="0"/>
        <w:autoSpaceDN w:val="0"/>
        <w:rPr>
          <w:rFonts w:ascii="Calibri" w:hAnsi="Calibri" w:cs="Calibri"/>
          <w:sz w:val="22"/>
          <w:szCs w:val="22"/>
        </w:rPr>
      </w:pPr>
      <w:r w:rsidRPr="00CF7010">
        <w:rPr>
          <w:rFonts w:ascii="Calibri" w:hAnsi="Calibri" w:cs="Calibri"/>
          <w:sz w:val="22"/>
          <w:szCs w:val="22"/>
        </w:rPr>
        <w:t>Submission to Senate Community Affairs Committee inquiry into revised Impairment Tables for the Disability Support Pension</w:t>
      </w:r>
    </w:p>
    <w:p w:rsidR="00314A45" w:rsidRPr="00CF7010" w:rsidRDefault="00314A45" w:rsidP="00314A45">
      <w:pPr>
        <w:numPr>
          <w:ilvl w:val="0"/>
          <w:numId w:val="21"/>
        </w:numPr>
        <w:autoSpaceDE w:val="0"/>
        <w:autoSpaceDN w:val="0"/>
        <w:rPr>
          <w:rFonts w:ascii="Calibri" w:hAnsi="Calibri" w:cs="Calibri"/>
          <w:sz w:val="22"/>
          <w:szCs w:val="22"/>
        </w:rPr>
      </w:pPr>
      <w:r w:rsidRPr="00CF7010">
        <w:rPr>
          <w:rFonts w:ascii="Calibri" w:hAnsi="Calibri" w:cs="Calibri"/>
          <w:sz w:val="22"/>
          <w:szCs w:val="22"/>
        </w:rPr>
        <w:t>Submission to Tax Forum, October 2011, Canberra</w:t>
      </w:r>
    </w:p>
    <w:p w:rsidR="005B0AE8" w:rsidRDefault="005B0AE8" w:rsidP="00314A45">
      <w:pPr>
        <w:pStyle w:val="Default"/>
        <w:jc w:val="both"/>
        <w:rPr>
          <w:b/>
          <w:sz w:val="22"/>
          <w:szCs w:val="22"/>
        </w:rPr>
      </w:pPr>
    </w:p>
    <w:p w:rsidR="00314A45" w:rsidRPr="003E6CBD" w:rsidRDefault="00314A45" w:rsidP="00E8597E">
      <w:pPr>
        <w:pStyle w:val="Heading3"/>
      </w:pPr>
      <w:r w:rsidRPr="004D24D1">
        <w:t>Engagement with Government departments and agencies</w:t>
      </w:r>
    </w:p>
    <w:p w:rsidR="00314A45" w:rsidRPr="003E6CBD" w:rsidRDefault="00314A45" w:rsidP="003E6CBD">
      <w:pPr>
        <w:pStyle w:val="Body"/>
      </w:pPr>
      <w:r>
        <w:t>NWRN</w:t>
      </w:r>
      <w:r w:rsidRPr="00E22AE6">
        <w:t xml:space="preserve"> meets regularly with </w:t>
      </w:r>
      <w:proofErr w:type="spellStart"/>
      <w:r w:rsidRPr="00E22AE6">
        <w:t>Centrelink</w:t>
      </w:r>
      <w:proofErr w:type="spellEnd"/>
      <w:r w:rsidRPr="00E22AE6">
        <w:t xml:space="preserve"> (DHS), as part of our bi-annual delegation meetings. NWRN members are </w:t>
      </w:r>
      <w:r>
        <w:t xml:space="preserve">also </w:t>
      </w:r>
      <w:r w:rsidRPr="00E22AE6">
        <w:t xml:space="preserve">involved </w:t>
      </w:r>
      <w:r>
        <w:t>in a wide range of meetings with Government agencies</w:t>
      </w:r>
      <w:r w:rsidRPr="00E22AE6">
        <w:t>. The following list is not exhaustive, but includes some of the main meetings that we take part in.</w:t>
      </w:r>
    </w:p>
    <w:p w:rsidR="00314A45" w:rsidRPr="004D24D1" w:rsidRDefault="00314A45" w:rsidP="00314A45">
      <w:pPr>
        <w:pStyle w:val="Default"/>
        <w:numPr>
          <w:ilvl w:val="0"/>
          <w:numId w:val="22"/>
        </w:numPr>
        <w:jc w:val="both"/>
        <w:rPr>
          <w:sz w:val="22"/>
          <w:szCs w:val="22"/>
        </w:rPr>
      </w:pPr>
      <w:r w:rsidRPr="004D24D1">
        <w:rPr>
          <w:sz w:val="22"/>
          <w:szCs w:val="22"/>
        </w:rPr>
        <w:t>Department of Families, Housing, Community Services and Indigenous Affairs Household Assistance Working Party</w:t>
      </w:r>
    </w:p>
    <w:p w:rsidR="00314A45" w:rsidRPr="004D24D1" w:rsidRDefault="00314A45" w:rsidP="00314A45">
      <w:pPr>
        <w:pStyle w:val="Default"/>
        <w:numPr>
          <w:ilvl w:val="0"/>
          <w:numId w:val="22"/>
        </w:numPr>
        <w:jc w:val="both"/>
        <w:rPr>
          <w:sz w:val="22"/>
          <w:szCs w:val="22"/>
        </w:rPr>
      </w:pPr>
      <w:r w:rsidRPr="004D24D1">
        <w:rPr>
          <w:sz w:val="22"/>
          <w:szCs w:val="22"/>
        </w:rPr>
        <w:t>Department of Human Services Service Delivery Advisory Group</w:t>
      </w:r>
    </w:p>
    <w:p w:rsidR="00314A45" w:rsidRPr="004D24D1" w:rsidRDefault="00314A45" w:rsidP="00314A45">
      <w:pPr>
        <w:pStyle w:val="Default"/>
        <w:numPr>
          <w:ilvl w:val="0"/>
          <w:numId w:val="22"/>
        </w:numPr>
        <w:jc w:val="both"/>
        <w:rPr>
          <w:sz w:val="22"/>
          <w:szCs w:val="22"/>
        </w:rPr>
      </w:pPr>
      <w:r w:rsidRPr="004D24D1">
        <w:rPr>
          <w:sz w:val="22"/>
          <w:szCs w:val="22"/>
        </w:rPr>
        <w:t>Department of Human Services Mental Health Service Delivery Working Party</w:t>
      </w:r>
    </w:p>
    <w:p w:rsidR="00314A45" w:rsidRPr="004D24D1" w:rsidRDefault="00314A45" w:rsidP="00314A45">
      <w:pPr>
        <w:pStyle w:val="Default"/>
        <w:numPr>
          <w:ilvl w:val="0"/>
          <w:numId w:val="22"/>
        </w:numPr>
        <w:jc w:val="both"/>
        <w:rPr>
          <w:sz w:val="22"/>
          <w:szCs w:val="22"/>
        </w:rPr>
      </w:pPr>
      <w:proofErr w:type="spellStart"/>
      <w:r w:rsidRPr="004D24D1">
        <w:rPr>
          <w:sz w:val="22"/>
          <w:szCs w:val="22"/>
        </w:rPr>
        <w:t>Centrelink</w:t>
      </w:r>
      <w:proofErr w:type="spellEnd"/>
      <w:r w:rsidRPr="004D24D1">
        <w:rPr>
          <w:sz w:val="22"/>
          <w:szCs w:val="22"/>
        </w:rPr>
        <w:t xml:space="preserve"> No Not Attend Appointments Working Party</w:t>
      </w:r>
    </w:p>
    <w:p w:rsidR="00314A45" w:rsidRPr="004D24D1" w:rsidRDefault="00314A45" w:rsidP="00314A45">
      <w:pPr>
        <w:pStyle w:val="Default"/>
        <w:numPr>
          <w:ilvl w:val="0"/>
          <w:numId w:val="22"/>
        </w:numPr>
        <w:jc w:val="both"/>
        <w:rPr>
          <w:sz w:val="22"/>
          <w:szCs w:val="22"/>
        </w:rPr>
      </w:pPr>
      <w:r w:rsidRPr="004D24D1">
        <w:rPr>
          <w:sz w:val="22"/>
          <w:szCs w:val="22"/>
        </w:rPr>
        <w:t>Department of Human Services Homelessness Advisory Group (various states)</w:t>
      </w:r>
    </w:p>
    <w:p w:rsidR="00314A45" w:rsidRPr="004D24D1" w:rsidRDefault="00314A45" w:rsidP="00314A45">
      <w:pPr>
        <w:pStyle w:val="Default"/>
        <w:numPr>
          <w:ilvl w:val="0"/>
          <w:numId w:val="22"/>
        </w:numPr>
        <w:jc w:val="both"/>
        <w:rPr>
          <w:sz w:val="22"/>
          <w:szCs w:val="22"/>
        </w:rPr>
      </w:pPr>
      <w:r w:rsidRPr="004D24D1">
        <w:rPr>
          <w:sz w:val="22"/>
          <w:szCs w:val="22"/>
        </w:rPr>
        <w:t>Department of Human Services Mental Health Advisory Group (various states)</w:t>
      </w:r>
    </w:p>
    <w:p w:rsidR="00314A45" w:rsidRPr="004D24D1" w:rsidRDefault="00314A45" w:rsidP="00314A45">
      <w:pPr>
        <w:pStyle w:val="Default"/>
        <w:numPr>
          <w:ilvl w:val="0"/>
          <w:numId w:val="22"/>
        </w:numPr>
        <w:jc w:val="both"/>
        <w:rPr>
          <w:sz w:val="22"/>
          <w:szCs w:val="22"/>
        </w:rPr>
      </w:pPr>
      <w:r w:rsidRPr="004D24D1">
        <w:rPr>
          <w:sz w:val="22"/>
          <w:szCs w:val="22"/>
        </w:rPr>
        <w:t>Department of Human Services Aboriginal Advisory Group, Sydney</w:t>
      </w:r>
    </w:p>
    <w:p w:rsidR="00314A45" w:rsidRPr="004D24D1" w:rsidRDefault="00314A45" w:rsidP="00314A45">
      <w:pPr>
        <w:pStyle w:val="Default"/>
        <w:numPr>
          <w:ilvl w:val="0"/>
          <w:numId w:val="22"/>
        </w:numPr>
        <w:jc w:val="both"/>
        <w:rPr>
          <w:sz w:val="22"/>
          <w:szCs w:val="22"/>
        </w:rPr>
      </w:pPr>
      <w:r w:rsidRPr="004D24D1">
        <w:rPr>
          <w:sz w:val="22"/>
          <w:szCs w:val="22"/>
        </w:rPr>
        <w:t xml:space="preserve">Department of Families, Housing, Community Services and Indigenous Affairs Medical Equipment Payment Working Party – Carbon Tax </w:t>
      </w:r>
    </w:p>
    <w:p w:rsidR="00314A45" w:rsidRPr="004D24D1" w:rsidRDefault="00314A45" w:rsidP="00314A45">
      <w:pPr>
        <w:pStyle w:val="Default"/>
        <w:numPr>
          <w:ilvl w:val="0"/>
          <w:numId w:val="22"/>
        </w:numPr>
        <w:jc w:val="both"/>
        <w:rPr>
          <w:sz w:val="22"/>
          <w:szCs w:val="22"/>
        </w:rPr>
      </w:pPr>
      <w:r w:rsidRPr="004D24D1">
        <w:rPr>
          <w:sz w:val="22"/>
          <w:szCs w:val="22"/>
        </w:rPr>
        <w:t>Department of Families, Housing, Community Services and Indigenous Affairs Disability Support Pension Advisory Group</w:t>
      </w:r>
    </w:p>
    <w:p w:rsidR="00314A45" w:rsidRPr="004D24D1" w:rsidRDefault="00314A45" w:rsidP="00314A45">
      <w:pPr>
        <w:pStyle w:val="Default"/>
        <w:numPr>
          <w:ilvl w:val="0"/>
          <w:numId w:val="22"/>
        </w:numPr>
        <w:jc w:val="both"/>
        <w:rPr>
          <w:sz w:val="22"/>
          <w:szCs w:val="22"/>
        </w:rPr>
      </w:pPr>
      <w:r w:rsidRPr="004D24D1">
        <w:rPr>
          <w:sz w:val="22"/>
          <w:szCs w:val="22"/>
        </w:rPr>
        <w:lastRenderedPageBreak/>
        <w:t>ACOSS Board</w:t>
      </w:r>
      <w:r>
        <w:rPr>
          <w:sz w:val="22"/>
          <w:szCs w:val="22"/>
        </w:rPr>
        <w:t xml:space="preserve"> Member and policy advisor on employment and social security issues</w:t>
      </w:r>
    </w:p>
    <w:p w:rsidR="00314A45" w:rsidRDefault="00314A45" w:rsidP="00314A45">
      <w:pPr>
        <w:pStyle w:val="Default"/>
        <w:numPr>
          <w:ilvl w:val="0"/>
          <w:numId w:val="22"/>
        </w:numPr>
        <w:jc w:val="both"/>
        <w:rPr>
          <w:sz w:val="22"/>
          <w:szCs w:val="22"/>
        </w:rPr>
      </w:pPr>
      <w:r w:rsidRPr="004D24D1">
        <w:rPr>
          <w:sz w:val="22"/>
          <w:szCs w:val="22"/>
        </w:rPr>
        <w:t>Department of Education, Employment and Workplace Relations Indicators for Quality Panel</w:t>
      </w:r>
    </w:p>
    <w:p w:rsidR="00314A45" w:rsidRPr="004D24D1" w:rsidRDefault="00314A45" w:rsidP="00314A45">
      <w:pPr>
        <w:pStyle w:val="Default"/>
        <w:numPr>
          <w:ilvl w:val="0"/>
          <w:numId w:val="22"/>
        </w:numPr>
        <w:jc w:val="both"/>
        <w:rPr>
          <w:sz w:val="22"/>
          <w:szCs w:val="22"/>
        </w:rPr>
      </w:pPr>
      <w:r>
        <w:rPr>
          <w:sz w:val="22"/>
          <w:szCs w:val="22"/>
        </w:rPr>
        <w:t>Participants at Tax Forum, October 2011, Canberra.</w:t>
      </w:r>
    </w:p>
    <w:p w:rsidR="00314A45" w:rsidRPr="00314A45" w:rsidRDefault="00314A45" w:rsidP="00314A45">
      <w:pPr>
        <w:pStyle w:val="Default"/>
        <w:jc w:val="both"/>
        <w:rPr>
          <w:b/>
          <w:sz w:val="22"/>
          <w:szCs w:val="22"/>
        </w:rPr>
      </w:pPr>
    </w:p>
    <w:p w:rsidR="00E22AE6" w:rsidRPr="003E6CBD" w:rsidRDefault="00E22AE6" w:rsidP="00E8597E">
      <w:pPr>
        <w:pStyle w:val="Heading3"/>
      </w:pPr>
      <w:r w:rsidRPr="00314A45">
        <w:t>Welfare Rights Media Releases, 2010-11</w:t>
      </w:r>
    </w:p>
    <w:p w:rsidR="00E22AE6" w:rsidRPr="00CF7010" w:rsidRDefault="00E22AE6" w:rsidP="00E22AE6">
      <w:pPr>
        <w:numPr>
          <w:ilvl w:val="0"/>
          <w:numId w:val="20"/>
        </w:numPr>
        <w:rPr>
          <w:rFonts w:ascii="Calibri" w:hAnsi="Calibri" w:cs="Calibri"/>
          <w:bCs/>
          <w:sz w:val="22"/>
          <w:szCs w:val="22"/>
        </w:rPr>
      </w:pPr>
      <w:r w:rsidRPr="00CF7010">
        <w:rPr>
          <w:rFonts w:ascii="Calibri" w:hAnsi="Calibri" w:cs="Calibri"/>
          <w:bCs/>
          <w:sz w:val="22"/>
          <w:szCs w:val="22"/>
        </w:rPr>
        <w:t xml:space="preserve">28 July 2010, </w:t>
      </w:r>
      <w:r w:rsidRPr="008D5808">
        <w:rPr>
          <w:rFonts w:ascii="Calibri" w:hAnsi="Calibri" w:cs="Calibri"/>
          <w:bCs/>
          <w:i/>
          <w:sz w:val="22"/>
          <w:szCs w:val="22"/>
        </w:rPr>
        <w:t>Both major parties wrong on Income management</w:t>
      </w:r>
    </w:p>
    <w:p w:rsidR="00E22AE6" w:rsidRPr="00CF7010" w:rsidRDefault="00E22AE6" w:rsidP="00E22AE6">
      <w:pPr>
        <w:numPr>
          <w:ilvl w:val="0"/>
          <w:numId w:val="20"/>
        </w:numPr>
        <w:rPr>
          <w:rFonts w:ascii="Calibri" w:hAnsi="Calibri" w:cs="Calibri"/>
          <w:bCs/>
          <w:sz w:val="22"/>
          <w:szCs w:val="22"/>
        </w:rPr>
      </w:pPr>
      <w:r w:rsidRPr="00CF7010">
        <w:rPr>
          <w:rFonts w:ascii="Calibri" w:hAnsi="Calibri" w:cs="Calibri"/>
          <w:bCs/>
          <w:sz w:val="22"/>
          <w:szCs w:val="22"/>
        </w:rPr>
        <w:t xml:space="preserve">2 August, 2010, </w:t>
      </w:r>
      <w:r w:rsidRPr="008D5808">
        <w:rPr>
          <w:rFonts w:ascii="Calibri" w:hAnsi="Calibri" w:cs="Calibri"/>
          <w:bCs/>
          <w:i/>
          <w:sz w:val="22"/>
          <w:szCs w:val="22"/>
        </w:rPr>
        <w:t>$150 Family Tax Benefits payments increase welcome</w:t>
      </w:r>
    </w:p>
    <w:p w:rsidR="00E22AE6" w:rsidRPr="00CF7010" w:rsidRDefault="00E22AE6" w:rsidP="00E22AE6">
      <w:pPr>
        <w:numPr>
          <w:ilvl w:val="0"/>
          <w:numId w:val="20"/>
        </w:numPr>
        <w:rPr>
          <w:rFonts w:ascii="Calibri" w:hAnsi="Calibri" w:cs="Calibri"/>
          <w:bCs/>
          <w:sz w:val="22"/>
          <w:szCs w:val="22"/>
        </w:rPr>
      </w:pPr>
      <w:r w:rsidRPr="00CF7010">
        <w:rPr>
          <w:rFonts w:ascii="Calibri" w:hAnsi="Calibri" w:cs="Calibri"/>
          <w:bCs/>
          <w:sz w:val="22"/>
          <w:szCs w:val="22"/>
        </w:rPr>
        <w:t xml:space="preserve">10 August 2010, </w:t>
      </w:r>
      <w:r w:rsidRPr="00F763C1">
        <w:rPr>
          <w:rFonts w:ascii="Calibri" w:hAnsi="Calibri" w:cs="Calibri"/>
          <w:bCs/>
          <w:i/>
          <w:sz w:val="22"/>
          <w:szCs w:val="22"/>
        </w:rPr>
        <w:t>The real issues in the 2010 Election</w:t>
      </w:r>
    </w:p>
    <w:p w:rsidR="00E22AE6" w:rsidRPr="00CF7010" w:rsidRDefault="00E22AE6" w:rsidP="00E22AE6">
      <w:pPr>
        <w:numPr>
          <w:ilvl w:val="0"/>
          <w:numId w:val="20"/>
        </w:numPr>
        <w:rPr>
          <w:rFonts w:ascii="Calibri" w:hAnsi="Calibri" w:cs="Calibri"/>
          <w:bCs/>
          <w:sz w:val="22"/>
          <w:szCs w:val="22"/>
        </w:rPr>
      </w:pPr>
      <w:r w:rsidRPr="00CF7010">
        <w:rPr>
          <w:rFonts w:ascii="Calibri" w:hAnsi="Calibri" w:cs="Calibri"/>
          <w:bCs/>
          <w:sz w:val="22"/>
          <w:szCs w:val="22"/>
        </w:rPr>
        <w:t xml:space="preserve">17 August 2010, </w:t>
      </w:r>
      <w:r w:rsidRPr="00F763C1">
        <w:rPr>
          <w:rFonts w:ascii="Calibri" w:hAnsi="Calibri" w:cs="Calibri"/>
          <w:bCs/>
          <w:i/>
          <w:sz w:val="22"/>
          <w:szCs w:val="22"/>
        </w:rPr>
        <w:t>Coalition jobs policy: lack of skills the problem, not motivation</w:t>
      </w:r>
    </w:p>
    <w:p w:rsidR="00E22AE6" w:rsidRPr="00CF7010" w:rsidRDefault="00E22AE6" w:rsidP="00E22AE6">
      <w:pPr>
        <w:numPr>
          <w:ilvl w:val="0"/>
          <w:numId w:val="20"/>
        </w:numPr>
        <w:rPr>
          <w:rFonts w:ascii="Calibri" w:hAnsi="Calibri" w:cs="Calibri"/>
          <w:bCs/>
          <w:sz w:val="22"/>
          <w:szCs w:val="22"/>
        </w:rPr>
      </w:pPr>
      <w:r w:rsidRPr="00CF7010">
        <w:rPr>
          <w:rFonts w:ascii="Calibri" w:hAnsi="Calibri" w:cs="Calibri"/>
          <w:bCs/>
          <w:sz w:val="22"/>
          <w:szCs w:val="22"/>
        </w:rPr>
        <w:t xml:space="preserve">10 September 2010, </w:t>
      </w:r>
      <w:r w:rsidRPr="00F763C1">
        <w:rPr>
          <w:rFonts w:ascii="Calibri" w:hAnsi="Calibri" w:cs="Calibri"/>
          <w:bCs/>
          <w:i/>
          <w:sz w:val="22"/>
          <w:szCs w:val="22"/>
        </w:rPr>
        <w:t>Welfare challenges for the new Parliament</w:t>
      </w:r>
    </w:p>
    <w:p w:rsidR="00E22AE6" w:rsidRPr="00CF7010" w:rsidRDefault="00E22AE6" w:rsidP="00E22AE6">
      <w:pPr>
        <w:numPr>
          <w:ilvl w:val="0"/>
          <w:numId w:val="20"/>
        </w:numPr>
        <w:rPr>
          <w:rFonts w:ascii="Calibri" w:hAnsi="Calibri" w:cs="Calibri"/>
          <w:bCs/>
          <w:sz w:val="22"/>
          <w:szCs w:val="22"/>
        </w:rPr>
      </w:pPr>
      <w:r w:rsidRPr="00CF7010">
        <w:rPr>
          <w:rFonts w:ascii="Calibri" w:hAnsi="Calibri" w:cs="Calibri"/>
          <w:bCs/>
          <w:sz w:val="22"/>
          <w:szCs w:val="22"/>
        </w:rPr>
        <w:t>20 September, 2010</w:t>
      </w:r>
      <w:r w:rsidRPr="00F763C1">
        <w:rPr>
          <w:rFonts w:ascii="Calibri" w:hAnsi="Calibri" w:cs="Calibri"/>
          <w:bCs/>
          <w:i/>
          <w:sz w:val="22"/>
          <w:szCs w:val="22"/>
        </w:rPr>
        <w:t>, Pension rise welcome, but too many miss out</w:t>
      </w:r>
    </w:p>
    <w:p w:rsidR="00E22AE6" w:rsidRPr="00B74B7B" w:rsidRDefault="00E22AE6" w:rsidP="00E22AE6">
      <w:pPr>
        <w:pStyle w:val="ListParagraph"/>
        <w:numPr>
          <w:ilvl w:val="0"/>
          <w:numId w:val="20"/>
        </w:numPr>
        <w:rPr>
          <w:rFonts w:ascii="Calibri" w:eastAsia="Times New Roman" w:hAnsi="Calibri" w:cs="Calibri"/>
          <w:i/>
          <w:sz w:val="22"/>
          <w:szCs w:val="22"/>
        </w:rPr>
      </w:pPr>
      <w:r w:rsidRPr="00CF7010">
        <w:rPr>
          <w:rFonts w:ascii="Calibri" w:eastAsia="Times New Roman" w:hAnsi="Calibri" w:cs="Calibri"/>
          <w:sz w:val="22"/>
          <w:szCs w:val="22"/>
        </w:rPr>
        <w:t xml:space="preserve">25 November 2010, </w:t>
      </w:r>
      <w:r w:rsidRPr="00B74B7B">
        <w:rPr>
          <w:rFonts w:ascii="Calibri" w:eastAsia="Times New Roman" w:hAnsi="Calibri" w:cs="Calibri"/>
          <w:i/>
          <w:sz w:val="22"/>
          <w:szCs w:val="22"/>
        </w:rPr>
        <w:t xml:space="preserve">Quality of </w:t>
      </w:r>
      <w:proofErr w:type="spellStart"/>
      <w:r w:rsidRPr="00B74B7B">
        <w:rPr>
          <w:rFonts w:ascii="Calibri" w:eastAsia="Times New Roman" w:hAnsi="Calibri" w:cs="Calibri"/>
          <w:i/>
          <w:sz w:val="22"/>
          <w:szCs w:val="22"/>
        </w:rPr>
        <w:t>Centrelink</w:t>
      </w:r>
      <w:proofErr w:type="spellEnd"/>
      <w:r w:rsidRPr="00B74B7B">
        <w:rPr>
          <w:rFonts w:ascii="Calibri" w:eastAsia="Times New Roman" w:hAnsi="Calibri" w:cs="Calibri"/>
          <w:i/>
          <w:sz w:val="22"/>
          <w:szCs w:val="22"/>
        </w:rPr>
        <w:t xml:space="preserve"> decisions under attack as review tribunal cuts costs </w:t>
      </w:r>
    </w:p>
    <w:p w:rsidR="00E22AE6" w:rsidRPr="00CF7010" w:rsidRDefault="00E22AE6" w:rsidP="00E22AE6">
      <w:pPr>
        <w:numPr>
          <w:ilvl w:val="0"/>
          <w:numId w:val="20"/>
        </w:numPr>
        <w:rPr>
          <w:rFonts w:ascii="Calibri" w:hAnsi="Calibri" w:cs="Calibri"/>
          <w:sz w:val="22"/>
          <w:szCs w:val="22"/>
        </w:rPr>
      </w:pPr>
      <w:r w:rsidRPr="00CF7010">
        <w:rPr>
          <w:rFonts w:ascii="Calibri" w:hAnsi="Calibri" w:cs="Calibri"/>
          <w:sz w:val="22"/>
          <w:szCs w:val="22"/>
        </w:rPr>
        <w:t xml:space="preserve">16 December 2010, </w:t>
      </w:r>
      <w:r w:rsidRPr="00B74B7B">
        <w:rPr>
          <w:rFonts w:ascii="Calibri" w:hAnsi="Calibri" w:cs="Calibri"/>
          <w:i/>
          <w:sz w:val="22"/>
          <w:szCs w:val="22"/>
        </w:rPr>
        <w:t>New poll urges crackdown on tax loopholes for the wealthy</w:t>
      </w:r>
    </w:p>
    <w:p w:rsidR="00E22AE6" w:rsidRPr="00CF7010" w:rsidRDefault="00E22AE6" w:rsidP="00E22AE6">
      <w:pPr>
        <w:numPr>
          <w:ilvl w:val="0"/>
          <w:numId w:val="20"/>
        </w:numPr>
        <w:rPr>
          <w:rFonts w:ascii="Calibri" w:hAnsi="Calibri" w:cs="Calibri"/>
          <w:sz w:val="22"/>
          <w:szCs w:val="22"/>
        </w:rPr>
      </w:pPr>
      <w:r w:rsidRPr="00CF7010">
        <w:rPr>
          <w:rFonts w:ascii="Calibri" w:hAnsi="Calibri" w:cs="Calibri"/>
          <w:sz w:val="22"/>
          <w:szCs w:val="22"/>
        </w:rPr>
        <w:t xml:space="preserve">31 December 2010, </w:t>
      </w:r>
      <w:r w:rsidRPr="00B74B7B">
        <w:rPr>
          <w:rFonts w:ascii="Calibri" w:hAnsi="Calibri" w:cs="Calibri"/>
          <w:i/>
          <w:sz w:val="22"/>
          <w:szCs w:val="22"/>
        </w:rPr>
        <w:t>New Year heralds good news and bad news for Australians on social security</w:t>
      </w:r>
    </w:p>
    <w:p w:rsidR="00E22AE6" w:rsidRPr="00CF7010" w:rsidRDefault="00E22AE6" w:rsidP="00E22AE6">
      <w:pPr>
        <w:numPr>
          <w:ilvl w:val="0"/>
          <w:numId w:val="20"/>
        </w:numPr>
        <w:rPr>
          <w:rFonts w:ascii="Calibri" w:hAnsi="Calibri" w:cs="Calibri"/>
          <w:sz w:val="22"/>
          <w:szCs w:val="22"/>
        </w:rPr>
      </w:pPr>
      <w:r w:rsidRPr="00CF7010">
        <w:rPr>
          <w:rFonts w:ascii="Calibri" w:hAnsi="Calibri" w:cs="Calibri"/>
          <w:sz w:val="22"/>
          <w:szCs w:val="22"/>
        </w:rPr>
        <w:t xml:space="preserve">5 January 2011, </w:t>
      </w:r>
      <w:r w:rsidRPr="00B74B7B">
        <w:rPr>
          <w:rFonts w:ascii="Calibri" w:hAnsi="Calibri" w:cs="Calibri"/>
          <w:i/>
          <w:sz w:val="22"/>
          <w:szCs w:val="22"/>
        </w:rPr>
        <w:t>New poll paints bleak picture for jobless</w:t>
      </w:r>
      <w:r w:rsidRPr="00CF7010">
        <w:rPr>
          <w:rFonts w:ascii="Calibri" w:hAnsi="Calibri" w:cs="Calibri"/>
          <w:sz w:val="22"/>
          <w:szCs w:val="22"/>
        </w:rPr>
        <w:t xml:space="preserve"> </w:t>
      </w:r>
    </w:p>
    <w:p w:rsidR="00E22AE6" w:rsidRPr="00CF7010" w:rsidRDefault="00E22AE6" w:rsidP="00E22AE6">
      <w:pPr>
        <w:numPr>
          <w:ilvl w:val="0"/>
          <w:numId w:val="20"/>
        </w:numPr>
        <w:rPr>
          <w:rFonts w:ascii="Calibri" w:hAnsi="Calibri" w:cs="Calibri"/>
          <w:sz w:val="22"/>
          <w:szCs w:val="22"/>
        </w:rPr>
      </w:pPr>
      <w:r w:rsidRPr="00CF7010">
        <w:rPr>
          <w:rFonts w:ascii="Calibri" w:hAnsi="Calibri" w:cs="Calibri"/>
          <w:sz w:val="22"/>
          <w:szCs w:val="22"/>
        </w:rPr>
        <w:t xml:space="preserve">31 January 2011, </w:t>
      </w:r>
      <w:r w:rsidRPr="00B74B7B">
        <w:rPr>
          <w:rFonts w:ascii="Calibri" w:hAnsi="Calibri" w:cs="Calibri"/>
          <w:i/>
          <w:sz w:val="22"/>
          <w:szCs w:val="22"/>
        </w:rPr>
        <w:t>Relocation for floods good news, but must be handled with care</w:t>
      </w:r>
    </w:p>
    <w:p w:rsidR="00E22AE6" w:rsidRPr="00CF7010" w:rsidRDefault="00E22AE6" w:rsidP="00E22AE6">
      <w:pPr>
        <w:numPr>
          <w:ilvl w:val="0"/>
          <w:numId w:val="20"/>
        </w:numPr>
        <w:rPr>
          <w:rFonts w:ascii="Calibri" w:hAnsi="Calibri" w:cs="Calibri"/>
          <w:sz w:val="22"/>
          <w:szCs w:val="22"/>
        </w:rPr>
      </w:pPr>
      <w:r w:rsidRPr="00CF7010">
        <w:rPr>
          <w:rFonts w:ascii="Calibri" w:hAnsi="Calibri" w:cs="Calibri"/>
          <w:sz w:val="22"/>
          <w:szCs w:val="22"/>
        </w:rPr>
        <w:t xml:space="preserve">7 February 2011, </w:t>
      </w:r>
      <w:r w:rsidRPr="00B74B7B">
        <w:rPr>
          <w:rFonts w:ascii="Calibri" w:hAnsi="Calibri" w:cs="Calibri"/>
          <w:i/>
          <w:sz w:val="22"/>
          <w:szCs w:val="22"/>
        </w:rPr>
        <w:t>Flood levy supported</w:t>
      </w:r>
      <w:r w:rsidRPr="00CF7010">
        <w:rPr>
          <w:rFonts w:ascii="Calibri" w:hAnsi="Calibri" w:cs="Calibri"/>
          <w:sz w:val="22"/>
          <w:szCs w:val="22"/>
        </w:rPr>
        <w:t xml:space="preserve"> </w:t>
      </w:r>
    </w:p>
    <w:p w:rsidR="00E22AE6" w:rsidRPr="00CF7010" w:rsidRDefault="00E22AE6" w:rsidP="00E22AE6">
      <w:pPr>
        <w:numPr>
          <w:ilvl w:val="0"/>
          <w:numId w:val="20"/>
        </w:numPr>
        <w:rPr>
          <w:rFonts w:ascii="Calibri" w:hAnsi="Calibri" w:cs="Calibri"/>
          <w:sz w:val="22"/>
          <w:szCs w:val="22"/>
        </w:rPr>
      </w:pPr>
      <w:r w:rsidRPr="00CF7010">
        <w:rPr>
          <w:rFonts w:ascii="Calibri" w:hAnsi="Calibri" w:cs="Calibri"/>
          <w:sz w:val="22"/>
          <w:szCs w:val="22"/>
        </w:rPr>
        <w:t xml:space="preserve">16 March 2011, </w:t>
      </w:r>
      <w:r w:rsidRPr="00B74B7B">
        <w:rPr>
          <w:rFonts w:ascii="Calibri" w:hAnsi="Calibri" w:cs="Calibri"/>
          <w:i/>
          <w:sz w:val="22"/>
          <w:szCs w:val="22"/>
        </w:rPr>
        <w:t xml:space="preserve">Ombudsman exposes broken </w:t>
      </w:r>
      <w:proofErr w:type="spellStart"/>
      <w:r w:rsidRPr="00B74B7B">
        <w:rPr>
          <w:rFonts w:ascii="Calibri" w:hAnsi="Calibri" w:cs="Calibri"/>
          <w:i/>
          <w:sz w:val="22"/>
          <w:szCs w:val="22"/>
        </w:rPr>
        <w:t>Centrelink</w:t>
      </w:r>
      <w:proofErr w:type="spellEnd"/>
      <w:r w:rsidRPr="00B74B7B">
        <w:rPr>
          <w:rFonts w:ascii="Calibri" w:hAnsi="Calibri" w:cs="Calibri"/>
          <w:i/>
          <w:sz w:val="22"/>
          <w:szCs w:val="22"/>
        </w:rPr>
        <w:t xml:space="preserve"> review process</w:t>
      </w:r>
    </w:p>
    <w:p w:rsidR="00E22AE6" w:rsidRPr="00CF7010" w:rsidRDefault="00E22AE6" w:rsidP="00E22AE6">
      <w:pPr>
        <w:numPr>
          <w:ilvl w:val="0"/>
          <w:numId w:val="20"/>
        </w:numPr>
        <w:rPr>
          <w:rFonts w:ascii="Calibri" w:hAnsi="Calibri" w:cs="Calibri"/>
          <w:sz w:val="22"/>
          <w:szCs w:val="22"/>
        </w:rPr>
      </w:pPr>
      <w:r w:rsidRPr="00CF7010">
        <w:rPr>
          <w:rFonts w:ascii="Calibri" w:hAnsi="Calibri" w:cs="Calibri"/>
          <w:sz w:val="22"/>
          <w:szCs w:val="22"/>
        </w:rPr>
        <w:t xml:space="preserve">29 March, </w:t>
      </w:r>
      <w:r w:rsidRPr="00B74B7B">
        <w:rPr>
          <w:rFonts w:ascii="Calibri" w:hAnsi="Calibri" w:cs="Calibri"/>
          <w:i/>
          <w:sz w:val="22"/>
          <w:szCs w:val="22"/>
        </w:rPr>
        <w:t>Abbott welfare plan deficient and divisive</w:t>
      </w:r>
    </w:p>
    <w:p w:rsidR="00E22AE6" w:rsidRPr="00CF7010" w:rsidRDefault="00E22AE6" w:rsidP="00E22AE6">
      <w:pPr>
        <w:numPr>
          <w:ilvl w:val="0"/>
          <w:numId w:val="20"/>
        </w:numPr>
        <w:rPr>
          <w:rFonts w:ascii="Calibri" w:hAnsi="Calibri" w:cs="Calibri"/>
          <w:sz w:val="22"/>
          <w:szCs w:val="22"/>
        </w:rPr>
      </w:pPr>
      <w:r w:rsidRPr="00CF7010">
        <w:rPr>
          <w:rFonts w:ascii="Calibri" w:hAnsi="Calibri" w:cs="Calibri"/>
          <w:sz w:val="22"/>
          <w:szCs w:val="22"/>
        </w:rPr>
        <w:t xml:space="preserve">18 April 2011, </w:t>
      </w:r>
      <w:proofErr w:type="spellStart"/>
      <w:r w:rsidRPr="00B74B7B">
        <w:rPr>
          <w:rFonts w:ascii="Calibri" w:hAnsi="Calibri" w:cs="Calibri"/>
          <w:i/>
          <w:sz w:val="22"/>
          <w:szCs w:val="22"/>
        </w:rPr>
        <w:t>Centrelink</w:t>
      </w:r>
      <w:proofErr w:type="spellEnd"/>
      <w:r w:rsidRPr="00B74B7B">
        <w:rPr>
          <w:rFonts w:ascii="Calibri" w:hAnsi="Calibri" w:cs="Calibri"/>
          <w:i/>
          <w:sz w:val="22"/>
          <w:szCs w:val="22"/>
        </w:rPr>
        <w:t xml:space="preserve"> penalties surge, Indigenous job seekers hardest hit</w:t>
      </w:r>
    </w:p>
    <w:p w:rsidR="00E22AE6" w:rsidRPr="00CF7010" w:rsidRDefault="00E22AE6" w:rsidP="00E22AE6">
      <w:pPr>
        <w:numPr>
          <w:ilvl w:val="0"/>
          <w:numId w:val="20"/>
        </w:numPr>
        <w:rPr>
          <w:rFonts w:ascii="Calibri" w:hAnsi="Calibri" w:cs="Calibri"/>
          <w:sz w:val="22"/>
          <w:szCs w:val="22"/>
        </w:rPr>
      </w:pPr>
      <w:r w:rsidRPr="00CF7010">
        <w:rPr>
          <w:rFonts w:ascii="Calibri" w:hAnsi="Calibri" w:cs="Calibri"/>
          <w:sz w:val="22"/>
          <w:szCs w:val="22"/>
        </w:rPr>
        <w:t xml:space="preserve">6 May 2011, </w:t>
      </w:r>
      <w:r w:rsidRPr="00B74B7B">
        <w:rPr>
          <w:rFonts w:ascii="Calibri" w:hAnsi="Calibri" w:cs="Calibri"/>
          <w:i/>
          <w:sz w:val="22"/>
          <w:szCs w:val="22"/>
        </w:rPr>
        <w:t>Teen parents need support, not a ‘crackdown’</w:t>
      </w:r>
    </w:p>
    <w:p w:rsidR="00E22AE6" w:rsidRPr="00B74B7B" w:rsidRDefault="00E22AE6" w:rsidP="00E22AE6">
      <w:pPr>
        <w:numPr>
          <w:ilvl w:val="0"/>
          <w:numId w:val="20"/>
        </w:numPr>
        <w:rPr>
          <w:rFonts w:ascii="Calibri" w:hAnsi="Calibri" w:cs="Calibri"/>
          <w:i/>
          <w:sz w:val="22"/>
          <w:szCs w:val="22"/>
        </w:rPr>
      </w:pPr>
      <w:r w:rsidRPr="00CF7010">
        <w:rPr>
          <w:rFonts w:ascii="Calibri" w:hAnsi="Calibri" w:cs="Calibri"/>
          <w:sz w:val="22"/>
          <w:szCs w:val="22"/>
        </w:rPr>
        <w:t xml:space="preserve">11 May 2011, </w:t>
      </w:r>
      <w:r w:rsidRPr="00B74B7B">
        <w:rPr>
          <w:rFonts w:ascii="Calibri" w:hAnsi="Calibri" w:cs="Calibri"/>
          <w:i/>
          <w:sz w:val="22"/>
          <w:szCs w:val="22"/>
        </w:rPr>
        <w:t>A mixed welfare Budget creates winners and losers</w:t>
      </w:r>
    </w:p>
    <w:p w:rsidR="00314A45" w:rsidRDefault="00314A45" w:rsidP="00212CD5">
      <w:pPr>
        <w:pStyle w:val="Default"/>
        <w:jc w:val="both"/>
        <w:rPr>
          <w:rFonts w:eastAsia="Calibri"/>
          <w:color w:val="auto"/>
          <w:sz w:val="22"/>
          <w:szCs w:val="22"/>
          <w:lang w:eastAsia="en-US"/>
        </w:rPr>
      </w:pPr>
    </w:p>
    <w:p w:rsidR="00560133" w:rsidRPr="00E8597E" w:rsidRDefault="00C0457B" w:rsidP="00E8597E">
      <w:pPr>
        <w:pStyle w:val="Heading2"/>
      </w:pPr>
      <w:bookmarkStart w:id="9" w:name="_Toc315947183"/>
      <w:r w:rsidRPr="00E8597E">
        <w:t>What are the benefits for government of secretariat funding for the NWRN?</w:t>
      </w:r>
      <w:bookmarkEnd w:id="9"/>
    </w:p>
    <w:p w:rsidR="00560133" w:rsidRDefault="00560133" w:rsidP="003E6CBD">
      <w:pPr>
        <w:pStyle w:val="Body"/>
      </w:pPr>
      <w:r>
        <w:t>S</w:t>
      </w:r>
      <w:r w:rsidR="00212CD5">
        <w:t xml:space="preserve">ecretariat funding </w:t>
      </w:r>
      <w:r>
        <w:t>would</w:t>
      </w:r>
      <w:r w:rsidR="00212CD5">
        <w:t xml:space="preserve"> enable</w:t>
      </w:r>
      <w:r>
        <w:t xml:space="preserve"> greater capacity</w:t>
      </w:r>
      <w:r w:rsidR="00212CD5">
        <w:t xml:space="preserve"> </w:t>
      </w:r>
      <w:r>
        <w:t>to provide government agencies feedback of gaps and improvements that are essential to ensuring an inclusive and engaged community.</w:t>
      </w:r>
    </w:p>
    <w:p w:rsidR="00560133" w:rsidRDefault="00D17B7D" w:rsidP="003E6CBD">
      <w:pPr>
        <w:pStyle w:val="Body"/>
      </w:pPr>
      <w:r>
        <w:t xml:space="preserve">NWRN places a high priority on achieving National Secretariat funding as members believe that </w:t>
      </w:r>
      <w:r w:rsidR="004D062F">
        <w:t>secretariat support will result in greater capacity</w:t>
      </w:r>
      <w:r>
        <w:t xml:space="preserve"> to provide government and stakeholders with much </w:t>
      </w:r>
      <w:r w:rsidR="00560133">
        <w:t>considered service deli</w:t>
      </w:r>
      <w:r>
        <w:t>very feedback and policy advice.</w:t>
      </w:r>
    </w:p>
    <w:p w:rsidR="00560133" w:rsidRDefault="00D17B7D" w:rsidP="003E6CBD">
      <w:pPr>
        <w:pStyle w:val="Body"/>
      </w:pPr>
      <w:r>
        <w:t xml:space="preserve">Secretarial funding would also increase our capacity to provide more immediate </w:t>
      </w:r>
      <w:r w:rsidR="00212CD5">
        <w:t xml:space="preserve">policy and law reform </w:t>
      </w:r>
      <w:r>
        <w:t>feedback</w:t>
      </w:r>
      <w:r w:rsidR="00212CD5">
        <w:t xml:space="preserve">. </w:t>
      </w:r>
      <w:r w:rsidR="00AF6F75">
        <w:t>At present NWRN’s</w:t>
      </w:r>
      <w:r w:rsidR="00314A45">
        <w:t xml:space="preserve"> </w:t>
      </w:r>
      <w:r w:rsidR="00212CD5">
        <w:t xml:space="preserve">ability to respond </w:t>
      </w:r>
      <w:r w:rsidR="00AF6F75">
        <w:t>immediately</w:t>
      </w:r>
      <w:r w:rsidR="00212CD5">
        <w:t xml:space="preserve"> to requests </w:t>
      </w:r>
      <w:r w:rsidR="00AF6F75">
        <w:t>from</w:t>
      </w:r>
      <w:r w:rsidR="00212CD5">
        <w:t xml:space="preserve"> Government </w:t>
      </w:r>
      <w:r w:rsidR="00AF6F75">
        <w:t xml:space="preserve">departments and agencies undertaking reviews and inquiries </w:t>
      </w:r>
      <w:r w:rsidR="00212CD5">
        <w:t xml:space="preserve">can be </w:t>
      </w:r>
      <w:r w:rsidR="00AF6F75">
        <w:t>challenging</w:t>
      </w:r>
      <w:r w:rsidR="00212CD5">
        <w:t xml:space="preserve"> as </w:t>
      </w:r>
      <w:r w:rsidR="00AF6F75">
        <w:t>most</w:t>
      </w:r>
      <w:r w:rsidR="00212CD5">
        <w:t xml:space="preserve"> NWRN </w:t>
      </w:r>
      <w:r w:rsidR="00AF6F75">
        <w:t xml:space="preserve">workers </w:t>
      </w:r>
      <w:r w:rsidR="00212CD5">
        <w:t xml:space="preserve">are principally caseworkers </w:t>
      </w:r>
      <w:r w:rsidR="00AF6F75">
        <w:t>and</w:t>
      </w:r>
      <w:r w:rsidR="00212CD5">
        <w:t xml:space="preserve"> Member Centres </w:t>
      </w:r>
      <w:r w:rsidR="00AF6F75">
        <w:t>often have</w:t>
      </w:r>
      <w:r w:rsidR="00212CD5">
        <w:t xml:space="preserve"> heavy caseload</w:t>
      </w:r>
      <w:r w:rsidR="00AF6F75">
        <w:t>s</w:t>
      </w:r>
      <w:r w:rsidR="00212CD5">
        <w:t xml:space="preserve">. </w:t>
      </w:r>
      <w:r w:rsidR="00314A45">
        <w:t xml:space="preserve"> </w:t>
      </w:r>
      <w:r w:rsidR="00212CD5">
        <w:t xml:space="preserve">As such there is a continual tension between the </w:t>
      </w:r>
      <w:r w:rsidR="00AF6F75">
        <w:t>desire</w:t>
      </w:r>
      <w:r w:rsidR="00212CD5">
        <w:t xml:space="preserve"> to have input into law reform and legal policy work</w:t>
      </w:r>
      <w:r w:rsidR="00AF6F75">
        <w:t xml:space="preserve"> to achieve systemic improvements</w:t>
      </w:r>
      <w:r w:rsidR="00212CD5">
        <w:t xml:space="preserve"> and the daily demands of casework</w:t>
      </w:r>
      <w:r w:rsidR="00AF6F75">
        <w:t xml:space="preserve"> in assisting individuals with immediate and pressing problems with the law or the way that it is administered</w:t>
      </w:r>
      <w:r w:rsidR="00212CD5">
        <w:t xml:space="preserve">. </w:t>
      </w:r>
    </w:p>
    <w:p w:rsidR="00C0457B" w:rsidRDefault="00D17B7D" w:rsidP="003E6CBD">
      <w:pPr>
        <w:pStyle w:val="Body"/>
      </w:pPr>
      <w:r>
        <w:lastRenderedPageBreak/>
        <w:t xml:space="preserve">A </w:t>
      </w:r>
      <w:r w:rsidR="00314A45">
        <w:t xml:space="preserve">peak body </w:t>
      </w:r>
      <w:r>
        <w:t xml:space="preserve">funding base would also allow NWRN members to focus on seeking other resources that would assist our goals of resourcing, developing, publishing and distribution additional </w:t>
      </w:r>
      <w:r w:rsidR="00560133">
        <w:t>information products and resources to assist people</w:t>
      </w:r>
      <w:r>
        <w:t xml:space="preserve"> in their dealings with social security issues and employment issues. For example, we would seek to re-publish our extremely popular Job seeker penalties wallet card.</w:t>
      </w:r>
      <w:r w:rsidR="00560133">
        <w:t xml:space="preserve"> </w:t>
      </w:r>
    </w:p>
    <w:p w:rsidR="00212CD5" w:rsidRDefault="00C0457B" w:rsidP="003E6CBD">
      <w:pPr>
        <w:pStyle w:val="Body"/>
      </w:pPr>
      <w:r>
        <w:t xml:space="preserve">The National Welfare Rights Network currently levies its members to provide a small but </w:t>
      </w:r>
      <w:r w:rsidR="00314A45">
        <w:t>highly valued coordination role</w:t>
      </w:r>
      <w:r w:rsidR="00212CD5">
        <w:t xml:space="preserve"> </w:t>
      </w:r>
      <w:r w:rsidR="00314A45">
        <w:t xml:space="preserve">and some </w:t>
      </w:r>
      <w:r w:rsidR="00212CD5">
        <w:t>travel requirements.</w:t>
      </w:r>
      <w:r w:rsidR="00314A45">
        <w:t xml:space="preserve"> </w:t>
      </w:r>
      <w:r w:rsidR="00212CD5">
        <w:t xml:space="preserve"> </w:t>
      </w:r>
      <w:r>
        <w:t>The centre in</w:t>
      </w:r>
      <w:r w:rsidR="00212CD5">
        <w:t xml:space="preserve"> Sydney hosts and runs the NWRN website, </w:t>
      </w:r>
      <w:r>
        <w:t>which updates</w:t>
      </w:r>
      <w:r w:rsidR="00212CD5">
        <w:t xml:space="preserve"> over 30 current Factsheets which are use</w:t>
      </w:r>
      <w:r>
        <w:t xml:space="preserve">d by all Welfare Rights Centres, </w:t>
      </w:r>
      <w:r w:rsidR="00212CD5">
        <w:t xml:space="preserve">many community organisations and members of the public. </w:t>
      </w:r>
      <w:r w:rsidR="00314A45">
        <w:t xml:space="preserve">  All submissions, meetings and other engagements with government are undertaken out of the goodwill and energy of staff members located at services across the Network on top of their ordinary workload.  </w:t>
      </w:r>
    </w:p>
    <w:p w:rsidR="00212CD5" w:rsidRDefault="00212CD5" w:rsidP="003E6CBD">
      <w:pPr>
        <w:pStyle w:val="Body"/>
      </w:pPr>
      <w:r>
        <w:t xml:space="preserve">NWRN’s </w:t>
      </w:r>
      <w:r w:rsidR="006D27A5">
        <w:t xml:space="preserve">contribution to improved service delivery, a better informed community sector </w:t>
      </w:r>
      <w:r>
        <w:t xml:space="preserve">and </w:t>
      </w:r>
      <w:r w:rsidR="006D27A5">
        <w:t>an increased policy capacity and enhanced feedback mechanisms</w:t>
      </w:r>
      <w:r>
        <w:t xml:space="preserve"> capacity and could be improved </w:t>
      </w:r>
      <w:r w:rsidR="006D27A5">
        <w:t>substantially</w:t>
      </w:r>
      <w:r>
        <w:t xml:space="preserve"> through the employment of a small number of staff to undertake </w:t>
      </w:r>
      <w:r w:rsidR="006D27A5">
        <w:t>secretarial and coordination</w:t>
      </w:r>
      <w:r>
        <w:t xml:space="preserve"> role</w:t>
      </w:r>
      <w:r w:rsidR="006D27A5">
        <w:t>s</w:t>
      </w:r>
      <w:r>
        <w:t xml:space="preserve">. </w:t>
      </w:r>
      <w:r w:rsidR="00314A45">
        <w:t xml:space="preserve"> </w:t>
      </w:r>
      <w:r w:rsidR="00FB7889">
        <w:t>National Secretariat funding</w:t>
      </w:r>
      <w:r>
        <w:t xml:space="preserve"> would </w:t>
      </w:r>
      <w:r w:rsidR="00EF1469">
        <w:t xml:space="preserve">most importantly, </w:t>
      </w:r>
      <w:r>
        <w:t xml:space="preserve">enable Welfare Rights </w:t>
      </w:r>
      <w:r w:rsidR="00FB7889">
        <w:t>members</w:t>
      </w:r>
      <w:r>
        <w:t xml:space="preserve"> to </w:t>
      </w:r>
      <w:r w:rsidR="00EF1469">
        <w:t>improve client services, while maximising</w:t>
      </w:r>
      <w:r>
        <w:t xml:space="preserve"> feedback to Government</w:t>
      </w:r>
      <w:r w:rsidR="006D27A5">
        <w:t xml:space="preserve">, its policy departments and </w:t>
      </w:r>
      <w:proofErr w:type="spellStart"/>
      <w:r w:rsidR="006D27A5">
        <w:t>Centrelink</w:t>
      </w:r>
      <w:proofErr w:type="spellEnd"/>
      <w:r w:rsidR="006D27A5">
        <w:t>.</w:t>
      </w:r>
    </w:p>
    <w:p w:rsidR="00212CD5" w:rsidRPr="00E8597E" w:rsidRDefault="00212CD5" w:rsidP="003E6CBD">
      <w:pPr>
        <w:pStyle w:val="Body"/>
        <w:pBdr>
          <w:top w:val="single" w:sz="4" w:space="1" w:color="auto"/>
          <w:left w:val="single" w:sz="4" w:space="4" w:color="auto"/>
          <w:bottom w:val="single" w:sz="4" w:space="1" w:color="auto"/>
          <w:right w:val="single" w:sz="4" w:space="4" w:color="auto"/>
        </w:pBdr>
        <w:rPr>
          <w:b/>
        </w:rPr>
      </w:pPr>
      <w:r w:rsidRPr="00E8597E">
        <w:rPr>
          <w:b/>
        </w:rPr>
        <w:t xml:space="preserve">From 1 January 2013 the </w:t>
      </w:r>
      <w:r w:rsidR="006D27A5" w:rsidRPr="00E8597E">
        <w:rPr>
          <w:b/>
        </w:rPr>
        <w:t>Federal Government</w:t>
      </w:r>
      <w:r w:rsidRPr="00E8597E">
        <w:rPr>
          <w:b/>
        </w:rPr>
        <w:t xml:space="preserve"> should provide the </w:t>
      </w:r>
      <w:r w:rsidRPr="00E8597E">
        <w:rPr>
          <w:b/>
          <w:bCs/>
        </w:rPr>
        <w:t xml:space="preserve">National Welfare Rights Network with </w:t>
      </w:r>
      <w:r w:rsidRPr="00E8597E">
        <w:rPr>
          <w:b/>
        </w:rPr>
        <w:t xml:space="preserve">National Secretariat </w:t>
      </w:r>
      <w:r w:rsidR="006D27A5" w:rsidRPr="00E8597E">
        <w:rPr>
          <w:b/>
        </w:rPr>
        <w:t xml:space="preserve">coordination, </w:t>
      </w:r>
      <w:r w:rsidRPr="00E8597E">
        <w:rPr>
          <w:b/>
        </w:rPr>
        <w:t>policy and advice funding of $325,000 per annum.</w:t>
      </w:r>
    </w:p>
    <w:p w:rsidR="00212CD5" w:rsidRPr="007024DD" w:rsidRDefault="00212CD5" w:rsidP="007024DD">
      <w:pPr>
        <w:pStyle w:val="Heading1"/>
      </w:pPr>
      <w:bookmarkStart w:id="10" w:name="_Toc315947184"/>
      <w:r>
        <w:t xml:space="preserve">Funding for an </w:t>
      </w:r>
      <w:r w:rsidRPr="003E3878">
        <w:t>Online Independent Social Security Handbook National Community Access Project</w:t>
      </w:r>
      <w:bookmarkEnd w:id="10"/>
    </w:p>
    <w:p w:rsidR="008F636B" w:rsidRDefault="008F636B" w:rsidP="003E6CBD">
      <w:pPr>
        <w:pStyle w:val="Body"/>
      </w:pPr>
      <w:r>
        <w:t xml:space="preserve">For over a quarter of a century the Welfare Rights Centre Sydney has published the </w:t>
      </w:r>
      <w:r w:rsidRPr="008F636B">
        <w:rPr>
          <w:i/>
        </w:rPr>
        <w:t>Independent Social Security Handbook</w:t>
      </w:r>
      <w:r>
        <w:t xml:space="preserve">. </w:t>
      </w:r>
      <w:r w:rsidR="004D062F">
        <w:t xml:space="preserve">The Online Handbook </w:t>
      </w:r>
      <w:r>
        <w:t>seeks to meet the needs of community agencies, socia</w:t>
      </w:r>
      <w:r w:rsidR="00753B90">
        <w:t>l workers, financial counsellors</w:t>
      </w:r>
      <w:r>
        <w:t xml:space="preserve">, </w:t>
      </w:r>
      <w:r w:rsidR="006D27A5">
        <w:t>politician’s</w:t>
      </w:r>
      <w:r>
        <w:t xml:space="preserve"> electorate staff – and the like – for a credible and informative range of information and advice about social security issues and </w:t>
      </w:r>
      <w:proofErr w:type="spellStart"/>
      <w:r>
        <w:t>Centrelink</w:t>
      </w:r>
      <w:proofErr w:type="spellEnd"/>
      <w:r>
        <w:t>.</w:t>
      </w:r>
    </w:p>
    <w:p w:rsidR="0028130C" w:rsidRDefault="00212CD5" w:rsidP="003E6CBD">
      <w:pPr>
        <w:pStyle w:val="Body"/>
      </w:pPr>
      <w:r>
        <w:t xml:space="preserve">The Welfare Rights Centre </w:t>
      </w:r>
      <w:r w:rsidR="00A9371E">
        <w:t>Sydney</w:t>
      </w:r>
      <w:r>
        <w:t xml:space="preserve"> researches, updates and publishes the highly acclaimed </w:t>
      </w:r>
      <w:r>
        <w:rPr>
          <w:i/>
        </w:rPr>
        <w:t>Online Independent Social Security Handbook.</w:t>
      </w:r>
      <w:r>
        <w:rPr>
          <w:b/>
          <w:i/>
        </w:rPr>
        <w:t xml:space="preserve"> </w:t>
      </w:r>
      <w:r>
        <w:t xml:space="preserve">The 900 page Online </w:t>
      </w:r>
      <w:r>
        <w:rPr>
          <w:i/>
        </w:rPr>
        <w:t xml:space="preserve">Independent Social Security Handbook is </w:t>
      </w:r>
      <w:r>
        <w:t xml:space="preserve">updated quarterly with changes to the Social Security Act, </w:t>
      </w:r>
      <w:r w:rsidR="008F636B">
        <w:t xml:space="preserve">family assistance legislation and </w:t>
      </w:r>
      <w:r>
        <w:t xml:space="preserve">its administration. </w:t>
      </w:r>
    </w:p>
    <w:p w:rsidR="0028130C" w:rsidRDefault="0028130C" w:rsidP="003E6CBD">
      <w:pPr>
        <w:pStyle w:val="Body"/>
      </w:pPr>
      <w:r>
        <w:t xml:space="preserve">The Handbook is tailored towards community workers or advisors across Australia who have little or no previous knowledge in the area, and for those who have some experience, but who are not experts. The Handbook fills the gap that exists between the publicly available highly technical information in the legislation and policy, and the plain English information which is provided by </w:t>
      </w:r>
      <w:proofErr w:type="spellStart"/>
      <w:r>
        <w:t>Centrelink</w:t>
      </w:r>
      <w:proofErr w:type="spellEnd"/>
      <w:r>
        <w:t xml:space="preserve"> which is not independently produced.</w:t>
      </w:r>
    </w:p>
    <w:p w:rsidR="0028130C" w:rsidRDefault="0028130C" w:rsidP="003E6CBD">
      <w:pPr>
        <w:pStyle w:val="Body"/>
      </w:pPr>
      <w:r>
        <w:t xml:space="preserve">A typical community worker who might use the Handbook is a local family support worker, a homelessness support worker or a financial counsellor. Often they use the information provided </w:t>
      </w:r>
      <w:r>
        <w:lastRenderedPageBreak/>
        <w:t xml:space="preserve">in the Handbook to assist their clients to obtain payment, have the payment increased, avoid getting debts or to have a </w:t>
      </w:r>
      <w:proofErr w:type="spellStart"/>
      <w:r>
        <w:t>Centrelink</w:t>
      </w:r>
      <w:proofErr w:type="spellEnd"/>
      <w:r>
        <w:t xml:space="preserve"> debt reduced. There are significant financial benefits for individuals when a Social Security problem is positively resolved. Depending on an individual’s circumstances and family situation, the financial costs to both State and Federal Governments of being denied access to income support to both State and Federal Governments is considerable. </w:t>
      </w:r>
    </w:p>
    <w:p w:rsidR="00212CD5" w:rsidRDefault="0028130C" w:rsidP="003E6CBD">
      <w:pPr>
        <w:pStyle w:val="Body"/>
      </w:pPr>
      <w:r>
        <w:t xml:space="preserve">The </w:t>
      </w:r>
      <w:r>
        <w:rPr>
          <w:i/>
        </w:rPr>
        <w:t>Online Independent Social Security Handbook</w:t>
      </w:r>
      <w:r>
        <w:t xml:space="preserve"> is seen as a valuable, even essential resource, by many of the key organisations and stakeholder groups in the Australian community, welfare and legal sector. Endorsements from organisations including the Australian Council of Social Service, Jobs Australia, the Federation of Ethnic Communities Councils of Australia, the Commonwealth Ombudsman, Financial Counsellors Association, Legal Aid NSW and the Brotherhood of St Laurence can be found at Attachment 2. </w:t>
      </w:r>
    </w:p>
    <w:p w:rsidR="00212CD5" w:rsidRDefault="00314A45" w:rsidP="003E6CBD">
      <w:pPr>
        <w:pStyle w:val="Body"/>
      </w:pPr>
      <w:r>
        <w:t>Some</w:t>
      </w:r>
      <w:r w:rsidR="008F636B">
        <w:t xml:space="preserve"> community groups, women’s refuges and homeless organisations and others that rely on this information find that they are often not in a position to afford even the modest costs of the publication. </w:t>
      </w:r>
      <w:r>
        <w:t xml:space="preserve"> </w:t>
      </w:r>
      <w:r w:rsidR="00212CD5">
        <w:t>T</w:t>
      </w:r>
      <w:r w:rsidR="008F636B">
        <w:t xml:space="preserve">o ensure the continuity of the </w:t>
      </w:r>
      <w:r w:rsidR="00212CD5">
        <w:rPr>
          <w:i/>
        </w:rPr>
        <w:t xml:space="preserve">Online Independent Social Security Handbook </w:t>
      </w:r>
      <w:r w:rsidRPr="00314A45">
        <w:t>we urge</w:t>
      </w:r>
      <w:r>
        <w:rPr>
          <w:i/>
        </w:rPr>
        <w:t xml:space="preserve"> </w:t>
      </w:r>
      <w:r>
        <w:t>the Federal Government to</w:t>
      </w:r>
      <w:r w:rsidR="00212CD5">
        <w:t xml:space="preserve"> support the</w:t>
      </w:r>
      <w:r w:rsidR="00212CD5">
        <w:rPr>
          <w:i/>
        </w:rPr>
        <w:t xml:space="preserve"> National Community Access Project</w:t>
      </w:r>
      <w:r w:rsidR="00212CD5">
        <w:t xml:space="preserve"> developed by the Welfare Rights Centre, Sydney for $75,000 per annum, or $225,000 over 3 years. This represents only part of the total cost of the project.  </w:t>
      </w:r>
    </w:p>
    <w:p w:rsidR="0028130C" w:rsidRDefault="00212CD5" w:rsidP="003E6CBD">
      <w:pPr>
        <w:pStyle w:val="Body"/>
      </w:pPr>
      <w:r>
        <w:t xml:space="preserve">The Commonwealth Government would purchase a bulk </w:t>
      </w:r>
      <w:r>
        <w:rPr>
          <w:i/>
        </w:rPr>
        <w:t>Online Handbook</w:t>
      </w:r>
      <w:r>
        <w:t xml:space="preserve"> subscription which would partially cover the cost of a Handbook </w:t>
      </w:r>
      <w:r w:rsidR="004909C3">
        <w:t>researcher</w:t>
      </w:r>
      <w:r w:rsidR="004D062F">
        <w:t xml:space="preserve"> and other publication and administration costs</w:t>
      </w:r>
      <w:r>
        <w:t xml:space="preserve">. The Government would effectively partner with the Welfare Rights Centre </w:t>
      </w:r>
      <w:r w:rsidR="004909C3">
        <w:t xml:space="preserve">Sydney </w:t>
      </w:r>
      <w:r>
        <w:t xml:space="preserve">in the publication of the </w:t>
      </w:r>
      <w:r>
        <w:rPr>
          <w:bCs/>
          <w:i/>
        </w:rPr>
        <w:t>Online Independent Social Security Handbook</w:t>
      </w:r>
      <w:r>
        <w:t xml:space="preserve">.  </w:t>
      </w:r>
    </w:p>
    <w:p w:rsidR="0056019D" w:rsidRDefault="00212CD5" w:rsidP="003E6CBD">
      <w:pPr>
        <w:pStyle w:val="Body"/>
      </w:pPr>
      <w:r>
        <w:t xml:space="preserve">This would help facilitate  access to the Online Handbook for all Australians, all community organisations, Federal and State Government Departments and agencies, public libraries, State Legal Aid Commissions and Job Services Australia providers. </w:t>
      </w:r>
      <w:r w:rsidR="00314A45">
        <w:t xml:space="preserve"> While a subscription base would still be needed, i</w:t>
      </w:r>
      <w:r>
        <w:t>t would also enable free access to be provided to individuals and community organisations on a needs basis.</w:t>
      </w:r>
      <w:r w:rsidR="00314A45">
        <w:t xml:space="preserve">  </w:t>
      </w:r>
    </w:p>
    <w:p w:rsidR="0056019D" w:rsidRPr="00E8597E" w:rsidRDefault="0056019D" w:rsidP="00E8597E">
      <w:pPr>
        <w:pStyle w:val="Body"/>
        <w:pBdr>
          <w:top w:val="single" w:sz="4" w:space="1" w:color="auto"/>
          <w:left w:val="single" w:sz="4" w:space="4" w:color="auto"/>
          <w:bottom w:val="single" w:sz="4" w:space="1" w:color="auto"/>
          <w:right w:val="single" w:sz="4" w:space="4" w:color="auto"/>
        </w:pBdr>
        <w:rPr>
          <w:b/>
          <w:i/>
        </w:rPr>
      </w:pPr>
      <w:r w:rsidRPr="00E8597E">
        <w:rPr>
          <w:b/>
        </w:rPr>
        <w:t xml:space="preserve">From 1 January 2013 the Federal Government would fund the </w:t>
      </w:r>
      <w:r w:rsidRPr="00E8597E">
        <w:rPr>
          <w:b/>
          <w:i/>
        </w:rPr>
        <w:t>National Community Access Project</w:t>
      </w:r>
      <w:r w:rsidRPr="00E8597E">
        <w:rPr>
          <w:b/>
        </w:rPr>
        <w:t xml:space="preserve">, which would allow free community access to the </w:t>
      </w:r>
      <w:r w:rsidRPr="00E8597E">
        <w:rPr>
          <w:b/>
          <w:i/>
        </w:rPr>
        <w:t xml:space="preserve">Online Independent Social Security Handbook, </w:t>
      </w:r>
      <w:r w:rsidRPr="00E8597E">
        <w:rPr>
          <w:b/>
        </w:rPr>
        <w:t xml:space="preserve">at a cost of $75,000 per annum, or $225,000 over 3 years. </w:t>
      </w:r>
    </w:p>
    <w:p w:rsidR="0056019D" w:rsidRDefault="0056019D" w:rsidP="003E6CBD">
      <w:pPr>
        <w:pStyle w:val="Body"/>
      </w:pPr>
    </w:p>
    <w:p w:rsidR="00212CD5" w:rsidRDefault="00212CD5" w:rsidP="003E6CBD">
      <w:pPr>
        <w:pStyle w:val="Heading1"/>
      </w:pPr>
      <w:r w:rsidRPr="0028130C">
        <w:br w:type="page"/>
      </w:r>
      <w:bookmarkStart w:id="11" w:name="_Toc315947185"/>
      <w:proofErr w:type="gramStart"/>
      <w:r>
        <w:lastRenderedPageBreak/>
        <w:t>Attachment 1.</w:t>
      </w:r>
      <w:bookmarkEnd w:id="11"/>
      <w:proofErr w:type="gramEnd"/>
    </w:p>
    <w:p w:rsidR="00212CD5" w:rsidRPr="003E6CBD" w:rsidRDefault="00212CD5" w:rsidP="00E8597E">
      <w:pPr>
        <w:pStyle w:val="Heading3"/>
      </w:pPr>
      <w:r w:rsidRPr="002D239D">
        <w:t>Information about Social Security published for NWRN members by the Welfare Rights Centre, Sydney</w:t>
      </w:r>
    </w:p>
    <w:p w:rsidR="00212CD5" w:rsidRDefault="00212CD5" w:rsidP="003E6CBD">
      <w:pPr>
        <w:pStyle w:val="Body"/>
      </w:pPr>
      <w:r>
        <w:t>Access to information about income support entitlements and rights and obligations is essential. The Welfare Rights Centre places a high priority on producing and distributing clear information for use across Australia.</w:t>
      </w:r>
    </w:p>
    <w:p w:rsidR="00212CD5" w:rsidRDefault="00212CD5" w:rsidP="003E6CBD">
      <w:pPr>
        <w:pStyle w:val="Body"/>
      </w:pPr>
      <w:r>
        <w:t>The Centre provides the following publications for the NWRN which are available to individuals, community agencies and Government departments.</w:t>
      </w:r>
    </w:p>
    <w:p w:rsidR="00212CD5" w:rsidRDefault="00212CD5" w:rsidP="00FB1771">
      <w:pPr>
        <w:pStyle w:val="Body"/>
      </w:pPr>
      <w:r>
        <w:t>The key Welfare Rights publications are:</w:t>
      </w:r>
    </w:p>
    <w:p w:rsidR="00212CD5" w:rsidRDefault="00212CD5" w:rsidP="00212CD5">
      <w:pPr>
        <w:pStyle w:val="bulletbody"/>
        <w:numPr>
          <w:ilvl w:val="0"/>
          <w:numId w:val="11"/>
        </w:numPr>
        <w:ind w:left="709" w:hanging="284"/>
        <w:jc w:val="both"/>
        <w:rPr>
          <w:rFonts w:ascii="Calibri" w:hAnsi="Calibri" w:cs="Calibri"/>
          <w:sz w:val="22"/>
          <w:szCs w:val="22"/>
        </w:rPr>
      </w:pPr>
      <w:r>
        <w:rPr>
          <w:rFonts w:ascii="Calibri" w:hAnsi="Calibri" w:cs="Calibri"/>
          <w:i/>
          <w:sz w:val="22"/>
          <w:szCs w:val="22"/>
        </w:rPr>
        <w:t>rights review</w:t>
      </w:r>
      <w:r>
        <w:rPr>
          <w:rFonts w:ascii="Calibri" w:hAnsi="Calibri" w:cs="Calibri"/>
          <w:sz w:val="22"/>
          <w:szCs w:val="22"/>
        </w:rPr>
        <w:t xml:space="preserve">, a quarterly newsletter which includes policy analysis, summaries of impending policy reforms, case studies and a practitioners guides; </w:t>
      </w:r>
    </w:p>
    <w:p w:rsidR="00212CD5" w:rsidRDefault="00212CD5" w:rsidP="00212CD5">
      <w:pPr>
        <w:pStyle w:val="bulletbody"/>
        <w:numPr>
          <w:ilvl w:val="0"/>
          <w:numId w:val="11"/>
        </w:numPr>
        <w:ind w:left="709" w:hanging="284"/>
        <w:jc w:val="both"/>
        <w:rPr>
          <w:rFonts w:ascii="Calibri" w:hAnsi="Calibri" w:cs="Calibri"/>
          <w:sz w:val="22"/>
          <w:szCs w:val="22"/>
        </w:rPr>
      </w:pPr>
      <w:r>
        <w:rPr>
          <w:rFonts w:ascii="Calibri" w:hAnsi="Calibri" w:cs="Calibri"/>
          <w:sz w:val="22"/>
          <w:szCs w:val="22"/>
        </w:rPr>
        <w:t xml:space="preserve">The </w:t>
      </w:r>
      <w:r w:rsidRPr="00E853F1">
        <w:rPr>
          <w:rFonts w:ascii="Calibri" w:hAnsi="Calibri" w:cs="Calibri"/>
          <w:i/>
          <w:sz w:val="22"/>
          <w:szCs w:val="22"/>
        </w:rPr>
        <w:t>Social Security Reporter</w:t>
      </w:r>
      <w:r>
        <w:rPr>
          <w:rFonts w:ascii="Calibri" w:hAnsi="Calibri" w:cs="Calibri"/>
          <w:sz w:val="22"/>
          <w:szCs w:val="22"/>
        </w:rPr>
        <w:t xml:space="preserve"> with case summaries of Administrative Appeals tribunal decisions. More information is available at: </w:t>
      </w:r>
      <w:hyperlink r:id="rId12" w:history="1">
        <w:r>
          <w:rPr>
            <w:rStyle w:val="Hyperlink"/>
            <w:rFonts w:ascii="Calibri" w:hAnsi="Calibri" w:cs="Calibri"/>
            <w:sz w:val="22"/>
            <w:szCs w:val="22"/>
          </w:rPr>
          <w:t>www.ssr.org.au</w:t>
        </w:r>
      </w:hyperlink>
      <w:r>
        <w:rPr>
          <w:rFonts w:ascii="Calibri" w:hAnsi="Calibri" w:cs="Calibri"/>
          <w:sz w:val="22"/>
          <w:szCs w:val="22"/>
        </w:rPr>
        <w:t>;</w:t>
      </w:r>
    </w:p>
    <w:p w:rsidR="00212CD5" w:rsidRDefault="00212CD5" w:rsidP="00212CD5">
      <w:pPr>
        <w:pStyle w:val="bulletbody"/>
        <w:numPr>
          <w:ilvl w:val="0"/>
          <w:numId w:val="11"/>
        </w:numPr>
        <w:ind w:left="709" w:hanging="284"/>
        <w:jc w:val="both"/>
        <w:rPr>
          <w:rFonts w:ascii="Calibri" w:hAnsi="Calibri" w:cs="Calibri"/>
          <w:sz w:val="22"/>
          <w:szCs w:val="22"/>
        </w:rPr>
      </w:pPr>
      <w:r>
        <w:rPr>
          <w:rFonts w:ascii="Calibri" w:hAnsi="Calibri" w:cs="Calibri"/>
          <w:sz w:val="22"/>
          <w:szCs w:val="22"/>
        </w:rPr>
        <w:t>30 factsheets covering all aspects of Social Security and Family Assistance law. The fact sheet on appeals is translated into Arabic, Chinese, Serbian, Spanish and Vietnamese;</w:t>
      </w:r>
    </w:p>
    <w:p w:rsidR="00212CD5" w:rsidRDefault="00212CD5" w:rsidP="00212CD5">
      <w:pPr>
        <w:pStyle w:val="bulletbody"/>
        <w:numPr>
          <w:ilvl w:val="0"/>
          <w:numId w:val="11"/>
        </w:numPr>
        <w:ind w:left="709" w:hanging="284"/>
        <w:jc w:val="both"/>
        <w:rPr>
          <w:rFonts w:ascii="Calibri" w:hAnsi="Calibri" w:cs="Calibri"/>
          <w:sz w:val="22"/>
          <w:szCs w:val="22"/>
        </w:rPr>
      </w:pPr>
      <w:r>
        <w:rPr>
          <w:rFonts w:ascii="Calibri" w:hAnsi="Calibri" w:cs="Calibri"/>
          <w:sz w:val="22"/>
          <w:szCs w:val="22"/>
        </w:rPr>
        <w:t xml:space="preserve">The </w:t>
      </w:r>
      <w:r w:rsidRPr="00E853F1">
        <w:rPr>
          <w:rFonts w:ascii="Calibri" w:hAnsi="Calibri" w:cs="Calibri"/>
          <w:i/>
          <w:sz w:val="22"/>
          <w:szCs w:val="22"/>
        </w:rPr>
        <w:t>Online Independent Social Security Handbook</w:t>
      </w:r>
      <w:r>
        <w:rPr>
          <w:rFonts w:ascii="Calibri" w:hAnsi="Calibri" w:cs="Calibri"/>
          <w:sz w:val="22"/>
          <w:szCs w:val="22"/>
        </w:rPr>
        <w:t xml:space="preserve">; </w:t>
      </w:r>
    </w:p>
    <w:p w:rsidR="00212CD5" w:rsidRDefault="00212CD5" w:rsidP="00212CD5">
      <w:pPr>
        <w:pStyle w:val="bulletbody"/>
        <w:numPr>
          <w:ilvl w:val="0"/>
          <w:numId w:val="11"/>
        </w:numPr>
        <w:ind w:left="709" w:hanging="284"/>
        <w:jc w:val="both"/>
        <w:rPr>
          <w:rFonts w:ascii="Calibri" w:hAnsi="Calibri" w:cs="Calibri"/>
          <w:sz w:val="22"/>
          <w:szCs w:val="22"/>
        </w:rPr>
      </w:pPr>
      <w:r>
        <w:rPr>
          <w:rFonts w:ascii="Calibri" w:hAnsi="Calibri" w:cs="Calibri"/>
          <w:sz w:val="22"/>
          <w:szCs w:val="22"/>
        </w:rPr>
        <w:t xml:space="preserve">Relationships and </w:t>
      </w:r>
      <w:proofErr w:type="spellStart"/>
      <w:r>
        <w:rPr>
          <w:rFonts w:ascii="Calibri" w:hAnsi="Calibri" w:cs="Calibri"/>
          <w:sz w:val="22"/>
          <w:szCs w:val="22"/>
        </w:rPr>
        <w:t>Centrelink</w:t>
      </w:r>
      <w:proofErr w:type="spellEnd"/>
      <w:r w:rsidR="00B71F41">
        <w:rPr>
          <w:rFonts w:ascii="Calibri" w:hAnsi="Calibri" w:cs="Calibri"/>
          <w:sz w:val="22"/>
          <w:szCs w:val="22"/>
        </w:rPr>
        <w:t xml:space="preserve"> (produced by Illawarra Legal Centre)</w:t>
      </w:r>
      <w:r>
        <w:rPr>
          <w:rFonts w:ascii="Calibri" w:hAnsi="Calibri" w:cs="Calibri"/>
          <w:sz w:val="22"/>
          <w:szCs w:val="22"/>
        </w:rPr>
        <w:t xml:space="preserve">; </w:t>
      </w:r>
    </w:p>
    <w:p w:rsidR="00212CD5" w:rsidRDefault="00212CD5" w:rsidP="00212CD5">
      <w:pPr>
        <w:pStyle w:val="bulletbody"/>
        <w:numPr>
          <w:ilvl w:val="0"/>
          <w:numId w:val="11"/>
        </w:numPr>
        <w:ind w:left="709" w:hanging="284"/>
        <w:jc w:val="both"/>
        <w:rPr>
          <w:rFonts w:ascii="Calibri" w:hAnsi="Calibri" w:cs="Calibri"/>
          <w:sz w:val="22"/>
          <w:szCs w:val="22"/>
        </w:rPr>
      </w:pPr>
      <w:r w:rsidRPr="00E853F1">
        <w:rPr>
          <w:rFonts w:ascii="Calibri" w:hAnsi="Calibri" w:cs="Calibri"/>
          <w:i/>
          <w:sz w:val="22"/>
          <w:szCs w:val="22"/>
        </w:rPr>
        <w:t>Get Paid Not Penalised!</w:t>
      </w:r>
      <w:r>
        <w:rPr>
          <w:rFonts w:ascii="Calibri" w:hAnsi="Calibri" w:cs="Calibri"/>
          <w:sz w:val="22"/>
          <w:szCs w:val="22"/>
        </w:rPr>
        <w:t xml:space="preserve"> (Booklet on compliance – funded by DEEWR);</w:t>
      </w:r>
    </w:p>
    <w:p w:rsidR="00212CD5" w:rsidRDefault="00212CD5" w:rsidP="00212CD5">
      <w:pPr>
        <w:pStyle w:val="bulletbody"/>
        <w:numPr>
          <w:ilvl w:val="0"/>
          <w:numId w:val="11"/>
        </w:numPr>
        <w:ind w:left="709" w:hanging="284"/>
        <w:jc w:val="both"/>
        <w:rPr>
          <w:rFonts w:ascii="Calibri" w:hAnsi="Calibri" w:cs="Calibri"/>
          <w:sz w:val="22"/>
          <w:szCs w:val="22"/>
        </w:rPr>
      </w:pPr>
      <w:r w:rsidRPr="00E853F1">
        <w:rPr>
          <w:rFonts w:ascii="Calibri" w:hAnsi="Calibri" w:cs="Calibri"/>
          <w:i/>
          <w:sz w:val="22"/>
          <w:szCs w:val="22"/>
        </w:rPr>
        <w:t>A self-help guide to the Social Security Appeals Tribunal</w:t>
      </w:r>
      <w:r>
        <w:rPr>
          <w:rFonts w:ascii="Calibri" w:hAnsi="Calibri" w:cs="Calibri"/>
          <w:sz w:val="22"/>
          <w:szCs w:val="22"/>
        </w:rPr>
        <w:t xml:space="preserve"> (written with Legal Aid NSW); and</w:t>
      </w:r>
    </w:p>
    <w:p w:rsidR="00212CD5" w:rsidRDefault="00212CD5" w:rsidP="00212CD5">
      <w:pPr>
        <w:pStyle w:val="bulletbody"/>
        <w:numPr>
          <w:ilvl w:val="0"/>
          <w:numId w:val="11"/>
        </w:numPr>
        <w:ind w:left="709" w:hanging="284"/>
        <w:jc w:val="both"/>
        <w:rPr>
          <w:rFonts w:ascii="Calibri" w:hAnsi="Calibri" w:cs="Calibri"/>
          <w:sz w:val="22"/>
          <w:szCs w:val="22"/>
        </w:rPr>
      </w:pPr>
      <w:r>
        <w:rPr>
          <w:rFonts w:ascii="Calibri" w:hAnsi="Calibri" w:cs="Calibri"/>
          <w:sz w:val="22"/>
          <w:szCs w:val="22"/>
        </w:rPr>
        <w:t xml:space="preserve">Welfare Rights Website, which can be accesses at: </w:t>
      </w:r>
      <w:hyperlink r:id="rId13" w:history="1">
        <w:r>
          <w:rPr>
            <w:rStyle w:val="Hyperlink"/>
            <w:rFonts w:ascii="Calibri" w:hAnsi="Calibri" w:cs="Calibri"/>
            <w:sz w:val="22"/>
            <w:szCs w:val="22"/>
          </w:rPr>
          <w:t>www.welfarerights.org.au</w:t>
        </w:r>
      </w:hyperlink>
    </w:p>
    <w:p w:rsidR="00212CD5" w:rsidRDefault="00212CD5" w:rsidP="00212CD5">
      <w:pPr>
        <w:jc w:val="both"/>
        <w:rPr>
          <w:rFonts w:ascii="Calibri" w:hAnsi="Calibri" w:cs="Calibri"/>
          <w:sz w:val="22"/>
          <w:szCs w:val="22"/>
        </w:rPr>
      </w:pPr>
    </w:p>
    <w:p w:rsidR="00212CD5" w:rsidRDefault="00212CD5" w:rsidP="00FB1771">
      <w:pPr>
        <w:pStyle w:val="Body"/>
      </w:pPr>
      <w:r>
        <w:t xml:space="preserve">A range of “self-help” booklets and forms are also produced by the Centre to assist individual clients and their advocate or community support worker to deal any problems with </w:t>
      </w:r>
      <w:proofErr w:type="spellStart"/>
      <w:r>
        <w:t>Centrelink</w:t>
      </w:r>
      <w:proofErr w:type="spellEnd"/>
      <w:r>
        <w:t xml:space="preserve">. There are separate booklets to assist at the Social Security Appeals Tribunal and the Administrative Appeals Tribunal. In addition there are more detailed self-help forms which provide information to assist people with the following: </w:t>
      </w:r>
    </w:p>
    <w:p w:rsidR="00212CD5" w:rsidRDefault="00212CD5" w:rsidP="00212CD5">
      <w:pPr>
        <w:pStyle w:val="bulletbody"/>
        <w:numPr>
          <w:ilvl w:val="0"/>
          <w:numId w:val="11"/>
        </w:numPr>
        <w:ind w:left="709" w:hanging="284"/>
        <w:jc w:val="both"/>
        <w:rPr>
          <w:rFonts w:ascii="Calibri" w:hAnsi="Calibri" w:cs="Calibri"/>
          <w:sz w:val="22"/>
          <w:szCs w:val="22"/>
        </w:rPr>
      </w:pPr>
      <w:r>
        <w:rPr>
          <w:rFonts w:ascii="Calibri" w:hAnsi="Calibri" w:cs="Calibri"/>
          <w:sz w:val="22"/>
          <w:szCs w:val="22"/>
        </w:rPr>
        <w:t>Freedom of Information requests;</w:t>
      </w:r>
    </w:p>
    <w:p w:rsidR="00212CD5" w:rsidRDefault="00212CD5" w:rsidP="00212CD5">
      <w:pPr>
        <w:pStyle w:val="bulletbody"/>
        <w:numPr>
          <w:ilvl w:val="0"/>
          <w:numId w:val="11"/>
        </w:numPr>
        <w:ind w:left="709" w:hanging="284"/>
        <w:jc w:val="both"/>
        <w:rPr>
          <w:rFonts w:ascii="Calibri" w:hAnsi="Calibri" w:cs="Calibri"/>
          <w:sz w:val="22"/>
          <w:szCs w:val="22"/>
        </w:rPr>
      </w:pPr>
      <w:r>
        <w:rPr>
          <w:rFonts w:ascii="Calibri" w:hAnsi="Calibri" w:cs="Calibri"/>
          <w:sz w:val="22"/>
          <w:szCs w:val="22"/>
        </w:rPr>
        <w:t>Appealing to an Authorised Review Officer;</w:t>
      </w:r>
    </w:p>
    <w:p w:rsidR="00212CD5" w:rsidRDefault="00212CD5" w:rsidP="00212CD5">
      <w:pPr>
        <w:pStyle w:val="bulletbody"/>
        <w:numPr>
          <w:ilvl w:val="0"/>
          <w:numId w:val="11"/>
        </w:numPr>
        <w:ind w:left="709" w:hanging="284"/>
        <w:jc w:val="both"/>
        <w:rPr>
          <w:rFonts w:ascii="Calibri" w:hAnsi="Calibri" w:cs="Calibri"/>
          <w:sz w:val="22"/>
          <w:szCs w:val="22"/>
        </w:rPr>
      </w:pPr>
      <w:r>
        <w:rPr>
          <w:rFonts w:ascii="Calibri" w:hAnsi="Calibri" w:cs="Calibri"/>
          <w:sz w:val="22"/>
          <w:szCs w:val="22"/>
        </w:rPr>
        <w:t>Act of Grace claims;</w:t>
      </w:r>
    </w:p>
    <w:p w:rsidR="00212CD5" w:rsidRDefault="00212CD5" w:rsidP="00212CD5">
      <w:pPr>
        <w:pStyle w:val="bulletbody"/>
        <w:numPr>
          <w:ilvl w:val="0"/>
          <w:numId w:val="11"/>
        </w:numPr>
        <w:ind w:left="709" w:hanging="284"/>
        <w:jc w:val="both"/>
        <w:rPr>
          <w:rFonts w:ascii="Calibri" w:hAnsi="Calibri" w:cs="Calibri"/>
          <w:sz w:val="22"/>
          <w:szCs w:val="22"/>
        </w:rPr>
      </w:pPr>
      <w:r>
        <w:rPr>
          <w:rFonts w:ascii="Calibri" w:hAnsi="Calibri" w:cs="Calibri"/>
          <w:sz w:val="22"/>
          <w:szCs w:val="22"/>
        </w:rPr>
        <w:t xml:space="preserve">Complaining about a </w:t>
      </w:r>
      <w:proofErr w:type="spellStart"/>
      <w:r>
        <w:rPr>
          <w:rFonts w:ascii="Calibri" w:hAnsi="Calibri" w:cs="Calibri"/>
          <w:sz w:val="22"/>
          <w:szCs w:val="22"/>
        </w:rPr>
        <w:t>Centrelink</w:t>
      </w:r>
      <w:proofErr w:type="spellEnd"/>
      <w:r>
        <w:rPr>
          <w:rFonts w:ascii="Calibri" w:hAnsi="Calibri" w:cs="Calibri"/>
          <w:sz w:val="22"/>
          <w:szCs w:val="22"/>
        </w:rPr>
        <w:t xml:space="preserve"> decision or service;</w:t>
      </w:r>
    </w:p>
    <w:p w:rsidR="00212CD5" w:rsidRDefault="00212CD5" w:rsidP="00212CD5">
      <w:pPr>
        <w:pStyle w:val="bulletbody"/>
        <w:numPr>
          <w:ilvl w:val="0"/>
          <w:numId w:val="11"/>
        </w:numPr>
        <w:ind w:left="709" w:hanging="284"/>
        <w:jc w:val="both"/>
        <w:rPr>
          <w:rFonts w:ascii="Calibri" w:hAnsi="Calibri" w:cs="Calibri"/>
          <w:sz w:val="22"/>
          <w:szCs w:val="22"/>
        </w:rPr>
      </w:pPr>
      <w:r>
        <w:rPr>
          <w:rFonts w:ascii="Calibri" w:hAnsi="Calibri" w:cs="Calibri"/>
          <w:sz w:val="22"/>
          <w:szCs w:val="22"/>
        </w:rPr>
        <w:t xml:space="preserve">Dealing with </w:t>
      </w:r>
      <w:proofErr w:type="spellStart"/>
      <w:r>
        <w:rPr>
          <w:rFonts w:ascii="Calibri" w:hAnsi="Calibri" w:cs="Calibri"/>
          <w:sz w:val="22"/>
          <w:szCs w:val="22"/>
        </w:rPr>
        <w:t>Centrelink</w:t>
      </w:r>
      <w:proofErr w:type="spellEnd"/>
      <w:r>
        <w:rPr>
          <w:rFonts w:ascii="Calibri" w:hAnsi="Calibri" w:cs="Calibri"/>
          <w:sz w:val="22"/>
          <w:szCs w:val="22"/>
        </w:rPr>
        <w:t xml:space="preserve"> about a debt recovery issue; and </w:t>
      </w:r>
    </w:p>
    <w:p w:rsidR="00212CD5" w:rsidRDefault="00212CD5" w:rsidP="00212CD5">
      <w:pPr>
        <w:pStyle w:val="bulletbody"/>
        <w:numPr>
          <w:ilvl w:val="0"/>
          <w:numId w:val="11"/>
        </w:numPr>
        <w:ind w:left="709" w:hanging="284"/>
        <w:jc w:val="both"/>
        <w:rPr>
          <w:rFonts w:ascii="Calibri" w:hAnsi="Calibri" w:cs="Calibri"/>
          <w:sz w:val="22"/>
          <w:szCs w:val="22"/>
        </w:rPr>
      </w:pPr>
      <w:r>
        <w:rPr>
          <w:rFonts w:ascii="Calibri" w:hAnsi="Calibri" w:cs="Calibri"/>
          <w:sz w:val="22"/>
          <w:szCs w:val="22"/>
        </w:rPr>
        <w:t xml:space="preserve">Completing a claim for compensation from </w:t>
      </w:r>
      <w:proofErr w:type="spellStart"/>
      <w:r>
        <w:rPr>
          <w:rFonts w:ascii="Calibri" w:hAnsi="Calibri" w:cs="Calibri"/>
          <w:sz w:val="22"/>
          <w:szCs w:val="22"/>
        </w:rPr>
        <w:t>Centrelink</w:t>
      </w:r>
      <w:proofErr w:type="spellEnd"/>
      <w:r>
        <w:rPr>
          <w:rFonts w:ascii="Calibri" w:hAnsi="Calibri" w:cs="Calibri"/>
          <w:sz w:val="22"/>
          <w:szCs w:val="22"/>
        </w:rPr>
        <w:t>.</w:t>
      </w:r>
    </w:p>
    <w:p w:rsidR="00212CD5" w:rsidRPr="00AC44DC" w:rsidRDefault="00212CD5" w:rsidP="00AC44DC">
      <w:pPr>
        <w:pStyle w:val="Heading1"/>
      </w:pPr>
      <w:bookmarkStart w:id="12" w:name="_Toc315947186"/>
      <w:proofErr w:type="gramStart"/>
      <w:r>
        <w:lastRenderedPageBreak/>
        <w:t>Attachment 2.</w:t>
      </w:r>
      <w:bookmarkEnd w:id="12"/>
      <w:proofErr w:type="gramEnd"/>
      <w:r>
        <w:t xml:space="preserve"> </w:t>
      </w:r>
    </w:p>
    <w:p w:rsidR="00212CD5" w:rsidRDefault="00212CD5" w:rsidP="00E8597E">
      <w:pPr>
        <w:pStyle w:val="Heading3"/>
      </w:pPr>
      <w:r>
        <w:t>What key organisations and stakeholder groups in the Australian community, welfare and legal sector</w:t>
      </w:r>
      <w:r>
        <w:rPr>
          <w:i/>
        </w:rPr>
        <w:t xml:space="preserve"> say about the Online Independent Social Security Handbook</w:t>
      </w:r>
      <w:r>
        <w:t xml:space="preserve"> </w:t>
      </w:r>
    </w:p>
    <w:p w:rsidR="00212CD5" w:rsidRDefault="00212CD5" w:rsidP="00AC44DC">
      <w:pPr>
        <w:pStyle w:val="Body"/>
      </w:pPr>
      <w:r>
        <w:t>“To be able to apply for your rights, you first have to know the rules of the game. This Handbook is an invaluable tool.”</w:t>
      </w:r>
    </w:p>
    <w:p w:rsidR="00212CD5" w:rsidRPr="00AC44DC" w:rsidRDefault="00212CD5" w:rsidP="00E8597E">
      <w:pPr>
        <w:pStyle w:val="Heading3"/>
      </w:pPr>
      <w:r>
        <w:t>Commonwealth Ombudsman</w:t>
      </w:r>
    </w:p>
    <w:p w:rsidR="00212CD5" w:rsidRDefault="00212CD5" w:rsidP="00AC44DC">
      <w:pPr>
        <w:pStyle w:val="Body"/>
      </w:pPr>
      <w:r>
        <w:t>“In an era of increasing social security complexities, this Handbook guides community and welfare workers through the maze to provide improved advice to clients. It’s clear, logical and easy to read.”</w:t>
      </w:r>
    </w:p>
    <w:p w:rsidR="00212CD5" w:rsidRPr="00AC44DC" w:rsidRDefault="00212CD5" w:rsidP="00E8597E">
      <w:pPr>
        <w:pStyle w:val="Heading3"/>
      </w:pPr>
      <w:r>
        <w:t>President, Australian Council of Social Services</w:t>
      </w:r>
    </w:p>
    <w:p w:rsidR="00212CD5" w:rsidRDefault="00212CD5" w:rsidP="00AC44DC">
      <w:pPr>
        <w:pStyle w:val="Body"/>
      </w:pPr>
      <w:r>
        <w:t xml:space="preserve">“This Handbook captures the wealth of practical casework experience of the Welfare Rights Centre to produce a fully updated, comprehensive guide for community and welfare workers. It untangles the complex web of Social Security and </w:t>
      </w:r>
      <w:proofErr w:type="spellStart"/>
      <w:r>
        <w:t>Centrelink</w:t>
      </w:r>
      <w:proofErr w:type="spellEnd"/>
      <w:r>
        <w:t xml:space="preserve"> rules. </w:t>
      </w:r>
      <w:proofErr w:type="gramStart"/>
      <w:r>
        <w:t>A must for community welfare agencies.”</w:t>
      </w:r>
      <w:proofErr w:type="gramEnd"/>
    </w:p>
    <w:p w:rsidR="00212CD5" w:rsidRPr="00AC44DC" w:rsidRDefault="00212CD5" w:rsidP="00E8597E">
      <w:pPr>
        <w:pStyle w:val="Heading3"/>
      </w:pPr>
      <w:r>
        <w:t>Tony Nicholson, CEO, Brotherhood of St Laurence</w:t>
      </w:r>
    </w:p>
    <w:p w:rsidR="00212CD5" w:rsidRDefault="00212CD5" w:rsidP="00AC44DC">
      <w:pPr>
        <w:pStyle w:val="Body"/>
      </w:pPr>
      <w:r>
        <w:t xml:space="preserve">“This handbook provides invaluable insight into rights, entitlements and obligation in a clear and concise manner. It provides a clear pathway into the Social Security and </w:t>
      </w:r>
      <w:proofErr w:type="spellStart"/>
      <w:r>
        <w:t>Centrelink</w:t>
      </w:r>
      <w:proofErr w:type="spellEnd"/>
      <w:r>
        <w:t xml:space="preserve"> systems and is an essential resource for Legal Aid and community workers in this field.”</w:t>
      </w:r>
    </w:p>
    <w:p w:rsidR="00212CD5" w:rsidRPr="00AC44DC" w:rsidRDefault="00212CD5" w:rsidP="00E8597E">
      <w:pPr>
        <w:pStyle w:val="Heading3"/>
      </w:pPr>
      <w:r>
        <w:t>Legal Aid Commission of NSW</w:t>
      </w:r>
    </w:p>
    <w:p w:rsidR="00212CD5" w:rsidRDefault="00212CD5" w:rsidP="00AC44DC">
      <w:pPr>
        <w:pStyle w:val="Body"/>
      </w:pPr>
      <w:r>
        <w:t>“Clients of diverse cultural and linguistic backgrounds often face barriers in accessing social security. This handbook is an essential resource for community workers assisting people from non-English speaking backgrounds in obtaining their entitlements.”</w:t>
      </w:r>
    </w:p>
    <w:p w:rsidR="00212CD5" w:rsidRPr="00AC44DC" w:rsidRDefault="00212CD5" w:rsidP="00E8597E">
      <w:pPr>
        <w:pStyle w:val="Heading3"/>
      </w:pPr>
      <w:r>
        <w:t>Chairperson, Federation of Ethnic Communities Councils of Australia</w:t>
      </w:r>
    </w:p>
    <w:p w:rsidR="00212CD5" w:rsidRDefault="00212CD5" w:rsidP="00AC44DC">
      <w:pPr>
        <w:pStyle w:val="Body"/>
        <w:rPr>
          <w:rFonts w:ascii="Calibri" w:hAnsi="Calibri" w:cs="Calibri"/>
        </w:rPr>
      </w:pPr>
      <w:r>
        <w:rPr>
          <w:rFonts w:ascii="Calibri" w:hAnsi="Calibri" w:cs="Calibri"/>
        </w:rPr>
        <w:t>“As well as subscribing to the OLINE version, every employment service provider should have at least one copy of this invaluable handbook.”</w:t>
      </w:r>
    </w:p>
    <w:p w:rsidR="00212CD5" w:rsidRPr="00AC44DC" w:rsidRDefault="00212CD5" w:rsidP="00E8597E">
      <w:pPr>
        <w:pStyle w:val="Heading3"/>
      </w:pPr>
      <w:r>
        <w:t>David Thompson, CEO, Jobs Australia.</w:t>
      </w:r>
    </w:p>
    <w:p w:rsidR="00212CD5" w:rsidRDefault="00212CD5" w:rsidP="00AC44DC">
      <w:pPr>
        <w:pStyle w:val="Body"/>
      </w:pPr>
      <w:r>
        <w:t xml:space="preserve">“This comprehensive Handbook is an invaluable tool for financial counsellors in their daily work. In client advocacy with </w:t>
      </w:r>
      <w:proofErr w:type="spellStart"/>
      <w:r>
        <w:t>Centrelink</w:t>
      </w:r>
      <w:proofErr w:type="spellEnd"/>
      <w:r>
        <w:t xml:space="preserve"> and others, the Handbook is of great assistance, providing clear guidelines and self-help forma and other such things as appealing, income and assets tests, debts and compensation.”</w:t>
      </w:r>
    </w:p>
    <w:p w:rsidR="00212CD5" w:rsidRDefault="00212CD5" w:rsidP="00E8597E">
      <w:pPr>
        <w:pStyle w:val="Heading3"/>
      </w:pPr>
      <w:r>
        <w:t>Chairperson, AFCRA, (Australian Financial Counselling and Credit Reform Association)</w:t>
      </w:r>
    </w:p>
    <w:p w:rsidR="00212CD5" w:rsidRDefault="00212CD5" w:rsidP="00E8597E">
      <w:pPr>
        <w:pStyle w:val="Heading3"/>
        <w:sectPr w:rsidR="00212CD5">
          <w:type w:val="continuous"/>
          <w:pgSz w:w="12240" w:h="15840"/>
          <w:pgMar w:top="1440" w:right="1800" w:bottom="1440" w:left="1800" w:header="720" w:footer="720" w:gutter="0"/>
          <w:cols w:space="720"/>
        </w:sectPr>
      </w:pPr>
    </w:p>
    <w:p w:rsidR="00B0540C" w:rsidRPr="00E8597E" w:rsidRDefault="00212CD5" w:rsidP="00E8597E">
      <w:pPr>
        <w:pStyle w:val="Heading1"/>
      </w:pPr>
      <w:bookmarkStart w:id="13" w:name="_Toc315947187"/>
      <w:proofErr w:type="gramStart"/>
      <w:r w:rsidRPr="00A350BB">
        <w:lastRenderedPageBreak/>
        <w:t>Attachment 3.</w:t>
      </w:r>
      <w:bookmarkEnd w:id="13"/>
      <w:proofErr w:type="gramEnd"/>
      <w:r w:rsidRPr="00A350BB">
        <w:t xml:space="preserve"> </w:t>
      </w:r>
    </w:p>
    <w:p w:rsidR="00212CD5" w:rsidRDefault="00212CD5" w:rsidP="00E8597E">
      <w:pPr>
        <w:pStyle w:val="Heading3"/>
      </w:pPr>
      <w:r>
        <w:t>Media Release</w:t>
      </w:r>
      <w:r w:rsidR="00B40515">
        <w:t>, 4</w:t>
      </w:r>
      <w:r w:rsidR="00A325BE">
        <w:t xml:space="preserve"> October </w:t>
      </w:r>
      <w:r>
        <w:t>2004.</w:t>
      </w:r>
    </w:p>
    <w:p w:rsidR="00212CD5" w:rsidRPr="00B0540C" w:rsidRDefault="00212CD5" w:rsidP="00212CD5">
      <w:pPr>
        <w:pStyle w:val="NormalWeb"/>
        <w:jc w:val="both"/>
        <w:rPr>
          <w:rFonts w:ascii="Calibri" w:hAnsi="Calibri" w:cs="Calibri"/>
          <w:sz w:val="16"/>
          <w:lang w:val="en-US"/>
        </w:rPr>
      </w:pPr>
      <w:r w:rsidRPr="00B0540C">
        <w:rPr>
          <w:rFonts w:ascii="Calibri" w:hAnsi="Calibri" w:cs="Calibri"/>
          <w:sz w:val="44"/>
          <w:szCs w:val="72"/>
          <w:lang w:val="en-US"/>
        </w:rPr>
        <w:t>Wayne Swan</w:t>
      </w:r>
      <w:r w:rsidRPr="00B0540C">
        <w:rPr>
          <w:rFonts w:ascii="Calibri" w:hAnsi="Calibri" w:cs="Calibri"/>
          <w:sz w:val="16"/>
          <w:lang w:val="en-US"/>
        </w:rPr>
        <w:t xml:space="preserve"> </w:t>
      </w:r>
      <w:r w:rsidRPr="00B0540C">
        <w:rPr>
          <w:rFonts w:ascii="Calibri" w:hAnsi="Calibri" w:cs="Calibri"/>
          <w:sz w:val="32"/>
          <w:szCs w:val="48"/>
          <w:lang w:val="en-US"/>
        </w:rPr>
        <w:t>MP</w:t>
      </w:r>
    </w:p>
    <w:p w:rsidR="00212CD5" w:rsidRPr="00B0540C" w:rsidRDefault="00212CD5" w:rsidP="00212CD5">
      <w:pPr>
        <w:pStyle w:val="NormalWeb"/>
        <w:rPr>
          <w:rFonts w:ascii="Calibri" w:hAnsi="Calibri" w:cs="Calibri"/>
          <w:sz w:val="20"/>
          <w:lang w:val="en-US"/>
        </w:rPr>
      </w:pPr>
      <w:r w:rsidRPr="00B0540C">
        <w:rPr>
          <w:rFonts w:ascii="Calibri" w:hAnsi="Calibri" w:cs="Calibri"/>
          <w:sz w:val="22"/>
          <w:szCs w:val="27"/>
          <w:lang w:val="en-US"/>
        </w:rPr>
        <w:t>Shadow Minister for Family and Community Services</w:t>
      </w:r>
    </w:p>
    <w:p w:rsidR="00212CD5" w:rsidRPr="00B0540C" w:rsidRDefault="00212CD5" w:rsidP="00E8597E">
      <w:pPr>
        <w:pStyle w:val="Heading3"/>
        <w:rPr>
          <w:lang w:val="en-US"/>
        </w:rPr>
      </w:pPr>
      <w:proofErr w:type="spellStart"/>
      <w:r w:rsidRPr="00B0540C">
        <w:t>Labor’s</w:t>
      </w:r>
      <w:proofErr w:type="spellEnd"/>
      <w:r w:rsidRPr="00B0540C">
        <w:t xml:space="preserve"> new Charter for fairer </w:t>
      </w:r>
      <w:proofErr w:type="spellStart"/>
      <w:r w:rsidRPr="00B0540C">
        <w:t>Centrelink</w:t>
      </w:r>
      <w:proofErr w:type="spellEnd"/>
      <w:r w:rsidRPr="00B0540C">
        <w:t xml:space="preserve"> service delivery</w:t>
      </w:r>
    </w:p>
    <w:p w:rsidR="00212CD5" w:rsidRPr="00B0540C" w:rsidRDefault="00212CD5" w:rsidP="00212CD5">
      <w:pPr>
        <w:pStyle w:val="NormalWeb"/>
        <w:rPr>
          <w:rFonts w:ascii="Calibri" w:hAnsi="Calibri" w:cs="Calibri"/>
          <w:sz w:val="22"/>
          <w:szCs w:val="22"/>
          <w:lang w:val="en-US"/>
        </w:rPr>
      </w:pPr>
      <w:r w:rsidRPr="00B0540C">
        <w:rPr>
          <w:rFonts w:ascii="Calibri" w:hAnsi="Calibri" w:cs="Calibri"/>
          <w:sz w:val="22"/>
          <w:szCs w:val="22"/>
        </w:rPr>
        <w:t xml:space="preserve">A Latham Government will work with </w:t>
      </w:r>
      <w:proofErr w:type="spellStart"/>
      <w:r w:rsidRPr="00B0540C">
        <w:rPr>
          <w:rFonts w:ascii="Calibri" w:hAnsi="Calibri" w:cs="Calibri"/>
          <w:sz w:val="22"/>
          <w:szCs w:val="22"/>
        </w:rPr>
        <w:t>Centrelink</w:t>
      </w:r>
      <w:proofErr w:type="spellEnd"/>
      <w:r w:rsidRPr="00B0540C">
        <w:rPr>
          <w:rFonts w:ascii="Calibri" w:hAnsi="Calibri" w:cs="Calibri"/>
          <w:sz w:val="22"/>
          <w:szCs w:val="22"/>
        </w:rPr>
        <w:t xml:space="preserve"> to improve its services to the 6.4 million Australians who receive pensions, family payments and income support. </w:t>
      </w:r>
    </w:p>
    <w:p w:rsidR="00212CD5" w:rsidRPr="00B0540C" w:rsidRDefault="00212CD5" w:rsidP="00212CD5">
      <w:pPr>
        <w:pStyle w:val="NormalWeb"/>
        <w:rPr>
          <w:rFonts w:ascii="Calibri" w:hAnsi="Calibri" w:cs="Calibri"/>
          <w:sz w:val="22"/>
          <w:szCs w:val="22"/>
          <w:lang w:val="en-US"/>
        </w:rPr>
      </w:pPr>
      <w:r w:rsidRPr="00B0540C">
        <w:rPr>
          <w:rFonts w:ascii="Calibri" w:hAnsi="Calibri" w:cs="Calibri"/>
          <w:sz w:val="22"/>
          <w:szCs w:val="22"/>
        </w:rPr>
        <w:t xml:space="preserve">Each year around 56% of all family payments made to parents are wrong. </w:t>
      </w:r>
    </w:p>
    <w:p w:rsidR="00212CD5" w:rsidRPr="00B0540C" w:rsidRDefault="00212CD5" w:rsidP="00212CD5">
      <w:pPr>
        <w:pStyle w:val="NormalWeb"/>
        <w:rPr>
          <w:rFonts w:ascii="Calibri" w:hAnsi="Calibri" w:cs="Calibri"/>
          <w:sz w:val="22"/>
          <w:szCs w:val="22"/>
          <w:lang w:val="en-US"/>
        </w:rPr>
      </w:pPr>
      <w:r w:rsidRPr="00B0540C">
        <w:rPr>
          <w:rFonts w:ascii="Calibri" w:hAnsi="Calibri" w:cs="Calibri"/>
          <w:sz w:val="22"/>
          <w:szCs w:val="22"/>
        </w:rPr>
        <w:t xml:space="preserve">Recently the Auditor-General found a total of $1 billion of outstanding </w:t>
      </w:r>
      <w:proofErr w:type="spellStart"/>
      <w:r w:rsidRPr="00B0540C">
        <w:rPr>
          <w:rFonts w:ascii="Calibri" w:hAnsi="Calibri" w:cs="Calibri"/>
          <w:sz w:val="22"/>
          <w:szCs w:val="22"/>
        </w:rPr>
        <w:t>Centrelink</w:t>
      </w:r>
      <w:proofErr w:type="spellEnd"/>
      <w:r w:rsidRPr="00B0540C">
        <w:rPr>
          <w:rFonts w:ascii="Calibri" w:hAnsi="Calibri" w:cs="Calibri"/>
          <w:sz w:val="22"/>
          <w:szCs w:val="22"/>
        </w:rPr>
        <w:t xml:space="preserve"> overpayments and debt owed by pensioners and people on income support payments. </w:t>
      </w:r>
    </w:p>
    <w:p w:rsidR="00212CD5" w:rsidRPr="00B0540C" w:rsidRDefault="00212CD5" w:rsidP="00212CD5">
      <w:pPr>
        <w:pStyle w:val="NormalWeb"/>
        <w:rPr>
          <w:rFonts w:ascii="Calibri" w:hAnsi="Calibri" w:cs="Calibri"/>
          <w:sz w:val="22"/>
          <w:szCs w:val="22"/>
          <w:lang w:val="en-US"/>
        </w:rPr>
      </w:pPr>
      <w:proofErr w:type="spellStart"/>
      <w:r w:rsidRPr="00B0540C">
        <w:rPr>
          <w:rFonts w:ascii="Calibri" w:hAnsi="Calibri" w:cs="Calibri"/>
          <w:sz w:val="22"/>
          <w:szCs w:val="22"/>
        </w:rPr>
        <w:t>Labor</w:t>
      </w:r>
      <w:proofErr w:type="spellEnd"/>
      <w:r w:rsidRPr="00B0540C">
        <w:rPr>
          <w:rFonts w:ascii="Calibri" w:hAnsi="Calibri" w:cs="Calibri"/>
          <w:sz w:val="22"/>
          <w:szCs w:val="22"/>
        </w:rPr>
        <w:t xml:space="preserve"> believes </w:t>
      </w:r>
      <w:proofErr w:type="spellStart"/>
      <w:r w:rsidRPr="00B0540C">
        <w:rPr>
          <w:rFonts w:ascii="Calibri" w:hAnsi="Calibri" w:cs="Calibri"/>
          <w:sz w:val="22"/>
          <w:szCs w:val="22"/>
        </w:rPr>
        <w:t>Centrelink’s</w:t>
      </w:r>
      <w:proofErr w:type="spellEnd"/>
      <w:r w:rsidRPr="00B0540C">
        <w:rPr>
          <w:rFonts w:ascii="Calibri" w:hAnsi="Calibri" w:cs="Calibri"/>
          <w:sz w:val="22"/>
          <w:szCs w:val="22"/>
        </w:rPr>
        <w:t xml:space="preserve"> highest priority should be to pay people the correct amount fortnightly when they need it most.</w:t>
      </w:r>
    </w:p>
    <w:p w:rsidR="00212CD5" w:rsidRPr="00B0540C" w:rsidRDefault="00212CD5" w:rsidP="00212CD5">
      <w:pPr>
        <w:pStyle w:val="NormalWeb"/>
        <w:rPr>
          <w:rFonts w:ascii="Calibri" w:hAnsi="Calibri" w:cs="Calibri"/>
          <w:sz w:val="22"/>
          <w:szCs w:val="22"/>
          <w:lang w:val="en-US"/>
        </w:rPr>
      </w:pPr>
      <w:r w:rsidRPr="00543317">
        <w:rPr>
          <w:rStyle w:val="Heading3Char"/>
        </w:rPr>
        <w:t xml:space="preserve">A consumer reference group </w:t>
      </w:r>
      <w:r w:rsidRPr="00543317">
        <w:rPr>
          <w:rStyle w:val="Heading3Char"/>
        </w:rPr>
        <w:br/>
      </w:r>
      <w:r w:rsidRPr="00B0540C">
        <w:rPr>
          <w:rFonts w:ascii="Calibri" w:hAnsi="Calibri" w:cs="Calibri"/>
          <w:sz w:val="22"/>
          <w:szCs w:val="22"/>
        </w:rPr>
        <w:t xml:space="preserve">A Latham Government will appoint a Consumer Reference Group to develop a new </w:t>
      </w:r>
      <w:proofErr w:type="spellStart"/>
      <w:r w:rsidRPr="00B0540C">
        <w:rPr>
          <w:rFonts w:ascii="Calibri" w:hAnsi="Calibri" w:cs="Calibri"/>
          <w:sz w:val="22"/>
          <w:szCs w:val="22"/>
        </w:rPr>
        <w:t>Centrelink</w:t>
      </w:r>
      <w:proofErr w:type="spellEnd"/>
      <w:r w:rsidRPr="00B0540C">
        <w:rPr>
          <w:rFonts w:ascii="Calibri" w:hAnsi="Calibri" w:cs="Calibri"/>
          <w:sz w:val="22"/>
          <w:szCs w:val="22"/>
        </w:rPr>
        <w:t xml:space="preserve"> Service Charter. </w:t>
      </w:r>
    </w:p>
    <w:p w:rsidR="00212CD5" w:rsidRPr="00B0540C" w:rsidRDefault="00212CD5" w:rsidP="00212CD5">
      <w:pPr>
        <w:pStyle w:val="NormalWeb"/>
        <w:rPr>
          <w:rFonts w:ascii="Calibri" w:hAnsi="Calibri" w:cs="Calibri"/>
          <w:sz w:val="22"/>
          <w:szCs w:val="22"/>
          <w:lang w:val="en-US"/>
        </w:rPr>
      </w:pPr>
      <w:proofErr w:type="spellStart"/>
      <w:r w:rsidRPr="00B0540C">
        <w:rPr>
          <w:rFonts w:ascii="Calibri" w:hAnsi="Calibri" w:cs="Calibri"/>
          <w:sz w:val="22"/>
          <w:szCs w:val="22"/>
        </w:rPr>
        <w:t>Labor’s</w:t>
      </w:r>
      <w:proofErr w:type="spellEnd"/>
      <w:r w:rsidRPr="00B0540C">
        <w:rPr>
          <w:rFonts w:ascii="Calibri" w:hAnsi="Calibri" w:cs="Calibri"/>
          <w:sz w:val="22"/>
          <w:szCs w:val="22"/>
        </w:rPr>
        <w:t xml:space="preserve"> Consumer Reference Group will include pensioners, families and individuals who use </w:t>
      </w:r>
      <w:proofErr w:type="spellStart"/>
      <w:r w:rsidRPr="00B0540C">
        <w:rPr>
          <w:rFonts w:ascii="Calibri" w:hAnsi="Calibri" w:cs="Calibri"/>
          <w:sz w:val="22"/>
          <w:szCs w:val="22"/>
        </w:rPr>
        <w:t>Centrelink</w:t>
      </w:r>
      <w:proofErr w:type="spellEnd"/>
      <w:r w:rsidRPr="00B0540C">
        <w:rPr>
          <w:rFonts w:ascii="Calibri" w:hAnsi="Calibri" w:cs="Calibri"/>
          <w:sz w:val="22"/>
          <w:szCs w:val="22"/>
        </w:rPr>
        <w:t xml:space="preserve"> services regularly as well as representatives from the National Welfare Rights Network.</w:t>
      </w:r>
    </w:p>
    <w:p w:rsidR="00212CD5" w:rsidRPr="00B0540C" w:rsidRDefault="00212CD5" w:rsidP="00212CD5">
      <w:pPr>
        <w:pStyle w:val="NormalWeb"/>
        <w:rPr>
          <w:rFonts w:ascii="Calibri" w:hAnsi="Calibri" w:cs="Calibri"/>
          <w:sz w:val="22"/>
          <w:szCs w:val="22"/>
          <w:lang w:val="en-US"/>
        </w:rPr>
      </w:pPr>
      <w:r w:rsidRPr="00543317">
        <w:rPr>
          <w:rStyle w:val="Heading3Char"/>
        </w:rPr>
        <w:t xml:space="preserve">A focus on debt prevention </w:t>
      </w:r>
      <w:r w:rsidRPr="00543317">
        <w:rPr>
          <w:rStyle w:val="Heading3Char"/>
        </w:rPr>
        <w:br/>
      </w:r>
      <w:r w:rsidRPr="00B0540C">
        <w:rPr>
          <w:rFonts w:ascii="Calibri" w:hAnsi="Calibri" w:cs="Calibri"/>
          <w:sz w:val="22"/>
          <w:szCs w:val="22"/>
        </w:rPr>
        <w:t xml:space="preserve">A Latham Government will boost </w:t>
      </w:r>
      <w:proofErr w:type="spellStart"/>
      <w:r w:rsidRPr="00B0540C">
        <w:rPr>
          <w:rFonts w:ascii="Calibri" w:hAnsi="Calibri" w:cs="Calibri"/>
          <w:sz w:val="22"/>
          <w:szCs w:val="22"/>
        </w:rPr>
        <w:t>Centrelink</w:t>
      </w:r>
      <w:proofErr w:type="spellEnd"/>
      <w:r w:rsidRPr="00B0540C">
        <w:rPr>
          <w:rFonts w:ascii="Calibri" w:hAnsi="Calibri" w:cs="Calibri"/>
          <w:sz w:val="22"/>
          <w:szCs w:val="22"/>
        </w:rPr>
        <w:t xml:space="preserve"> compliance activities that focus on debt and fraud prevention. </w:t>
      </w:r>
    </w:p>
    <w:p w:rsidR="00212CD5" w:rsidRPr="00B0540C" w:rsidRDefault="00212CD5" w:rsidP="00212CD5">
      <w:pPr>
        <w:pStyle w:val="NormalWeb"/>
        <w:rPr>
          <w:rFonts w:ascii="Calibri" w:hAnsi="Calibri" w:cs="Calibri"/>
          <w:sz w:val="22"/>
          <w:szCs w:val="22"/>
          <w:lang w:val="en-US"/>
        </w:rPr>
      </w:pPr>
      <w:proofErr w:type="spellStart"/>
      <w:r w:rsidRPr="00B0540C">
        <w:rPr>
          <w:rFonts w:ascii="Calibri" w:hAnsi="Calibri" w:cs="Calibri"/>
          <w:sz w:val="22"/>
          <w:szCs w:val="22"/>
        </w:rPr>
        <w:t>Labor’s</w:t>
      </w:r>
      <w:proofErr w:type="spellEnd"/>
      <w:r w:rsidRPr="00B0540C">
        <w:rPr>
          <w:rFonts w:ascii="Calibri" w:hAnsi="Calibri" w:cs="Calibri"/>
          <w:sz w:val="22"/>
          <w:szCs w:val="22"/>
        </w:rPr>
        <w:t xml:space="preserve"> better family payment policy outlines a series of reforms to prevent family payment debts.  </w:t>
      </w:r>
    </w:p>
    <w:p w:rsidR="00212CD5" w:rsidRPr="00B0540C" w:rsidRDefault="00212CD5" w:rsidP="00212CD5">
      <w:pPr>
        <w:pStyle w:val="NormalWeb"/>
        <w:rPr>
          <w:rFonts w:ascii="Calibri" w:hAnsi="Calibri" w:cs="Calibri"/>
          <w:sz w:val="22"/>
          <w:szCs w:val="22"/>
          <w:lang w:val="en-US"/>
        </w:rPr>
      </w:pPr>
      <w:proofErr w:type="spellStart"/>
      <w:r w:rsidRPr="00B0540C">
        <w:rPr>
          <w:rFonts w:ascii="Calibri" w:hAnsi="Calibri" w:cs="Calibri"/>
          <w:sz w:val="22"/>
          <w:szCs w:val="22"/>
        </w:rPr>
        <w:t>Labor</w:t>
      </w:r>
      <w:proofErr w:type="spellEnd"/>
      <w:r w:rsidRPr="00B0540C">
        <w:rPr>
          <w:rFonts w:ascii="Calibri" w:hAnsi="Calibri" w:cs="Calibri"/>
          <w:sz w:val="22"/>
          <w:szCs w:val="22"/>
        </w:rPr>
        <w:t xml:space="preserve"> will also develop new strategies to inform clients about their entitlements and to prevent overpayments and debts which cause chaos to household budgets.</w:t>
      </w:r>
    </w:p>
    <w:p w:rsidR="00212CD5" w:rsidRPr="00B0540C" w:rsidRDefault="00212CD5" w:rsidP="00212CD5">
      <w:pPr>
        <w:pStyle w:val="NormalWeb"/>
        <w:rPr>
          <w:rFonts w:ascii="Calibri" w:hAnsi="Calibri" w:cs="Calibri"/>
          <w:sz w:val="22"/>
          <w:szCs w:val="22"/>
          <w:lang w:val="en-US"/>
        </w:rPr>
      </w:pPr>
      <w:r w:rsidRPr="00B0540C">
        <w:rPr>
          <w:rFonts w:ascii="Calibri" w:hAnsi="Calibri" w:cs="Calibri"/>
          <w:sz w:val="22"/>
          <w:szCs w:val="22"/>
        </w:rPr>
        <w:t xml:space="preserve">The current Government is happy to pay the wrong amounts to clients and then recover the money up to five years down the track. </w:t>
      </w:r>
    </w:p>
    <w:p w:rsidR="00212CD5" w:rsidRPr="00B0540C" w:rsidRDefault="00212CD5" w:rsidP="00212CD5">
      <w:pPr>
        <w:pStyle w:val="NormalWeb"/>
        <w:rPr>
          <w:rFonts w:ascii="Calibri" w:hAnsi="Calibri" w:cs="Calibri"/>
          <w:sz w:val="22"/>
          <w:szCs w:val="22"/>
          <w:lang w:val="en-US"/>
        </w:rPr>
      </w:pPr>
      <w:proofErr w:type="spellStart"/>
      <w:r w:rsidRPr="00B0540C">
        <w:rPr>
          <w:rFonts w:ascii="Calibri" w:hAnsi="Calibri" w:cs="Calibri"/>
          <w:sz w:val="22"/>
          <w:szCs w:val="22"/>
        </w:rPr>
        <w:t>Labor</w:t>
      </w:r>
      <w:proofErr w:type="spellEnd"/>
      <w:r w:rsidRPr="00B0540C">
        <w:rPr>
          <w:rFonts w:ascii="Calibri" w:hAnsi="Calibri" w:cs="Calibri"/>
          <w:sz w:val="22"/>
          <w:szCs w:val="22"/>
        </w:rPr>
        <w:t xml:space="preserve"> will reduce taxpayers funds wrongfully paid out each year. </w:t>
      </w:r>
      <w:proofErr w:type="spellStart"/>
      <w:r w:rsidRPr="00B0540C">
        <w:rPr>
          <w:rFonts w:ascii="Calibri" w:hAnsi="Calibri" w:cs="Calibri"/>
          <w:sz w:val="22"/>
          <w:szCs w:val="22"/>
        </w:rPr>
        <w:t>Labor</w:t>
      </w:r>
      <w:proofErr w:type="spellEnd"/>
      <w:r w:rsidRPr="00B0540C">
        <w:rPr>
          <w:rFonts w:ascii="Calibri" w:hAnsi="Calibri" w:cs="Calibri"/>
          <w:sz w:val="22"/>
          <w:szCs w:val="22"/>
        </w:rPr>
        <w:t xml:space="preserve"> will: </w:t>
      </w:r>
    </w:p>
    <w:p w:rsidR="00212CD5" w:rsidRPr="00B0540C" w:rsidRDefault="00212CD5" w:rsidP="00212CD5">
      <w:pPr>
        <w:pStyle w:val="NormalWeb"/>
        <w:numPr>
          <w:ilvl w:val="0"/>
          <w:numId w:val="16"/>
        </w:numPr>
        <w:rPr>
          <w:rFonts w:ascii="Calibri" w:hAnsi="Calibri" w:cs="Calibri"/>
          <w:sz w:val="22"/>
          <w:szCs w:val="22"/>
          <w:lang w:val="en-US"/>
        </w:rPr>
      </w:pPr>
      <w:proofErr w:type="gramStart"/>
      <w:r w:rsidRPr="00B0540C">
        <w:rPr>
          <w:rFonts w:ascii="Calibri" w:hAnsi="Calibri" w:cs="Calibri"/>
          <w:sz w:val="22"/>
          <w:szCs w:val="22"/>
        </w:rPr>
        <w:lastRenderedPageBreak/>
        <w:t>ensure</w:t>
      </w:r>
      <w:proofErr w:type="gramEnd"/>
      <w:r w:rsidRPr="00B0540C">
        <w:rPr>
          <w:rFonts w:ascii="Calibri" w:hAnsi="Calibri" w:cs="Calibri"/>
          <w:sz w:val="22"/>
          <w:szCs w:val="22"/>
        </w:rPr>
        <w:t xml:space="preserve"> all </w:t>
      </w:r>
      <w:proofErr w:type="spellStart"/>
      <w:r w:rsidRPr="00B0540C">
        <w:rPr>
          <w:rFonts w:ascii="Calibri" w:hAnsi="Calibri" w:cs="Calibri"/>
          <w:sz w:val="22"/>
          <w:szCs w:val="22"/>
        </w:rPr>
        <w:t>Centrelink</w:t>
      </w:r>
      <w:proofErr w:type="spellEnd"/>
      <w:r w:rsidRPr="00B0540C">
        <w:rPr>
          <w:rFonts w:ascii="Calibri" w:hAnsi="Calibri" w:cs="Calibri"/>
          <w:sz w:val="22"/>
          <w:szCs w:val="22"/>
        </w:rPr>
        <w:t xml:space="preserve"> correspondence more clearly warns clients of their legal responsibilities.</w:t>
      </w:r>
      <w:r w:rsidRPr="00B0540C">
        <w:rPr>
          <w:rFonts w:ascii="Calibri" w:hAnsi="Calibri" w:cs="Calibri"/>
          <w:sz w:val="22"/>
          <w:szCs w:val="22"/>
          <w:lang w:val="en-US"/>
        </w:rPr>
        <w:t xml:space="preserve"> </w:t>
      </w:r>
    </w:p>
    <w:p w:rsidR="00212CD5" w:rsidRPr="00B0540C" w:rsidRDefault="00212CD5" w:rsidP="00212CD5">
      <w:pPr>
        <w:pStyle w:val="NormalWeb"/>
        <w:numPr>
          <w:ilvl w:val="0"/>
          <w:numId w:val="16"/>
        </w:numPr>
        <w:rPr>
          <w:rFonts w:ascii="Calibri" w:hAnsi="Calibri" w:cs="Calibri"/>
          <w:sz w:val="22"/>
          <w:szCs w:val="22"/>
          <w:lang w:val="en-US"/>
        </w:rPr>
      </w:pPr>
      <w:proofErr w:type="gramStart"/>
      <w:r w:rsidRPr="00B0540C">
        <w:rPr>
          <w:rFonts w:ascii="Calibri" w:hAnsi="Calibri" w:cs="Calibri"/>
          <w:sz w:val="22"/>
          <w:szCs w:val="22"/>
        </w:rPr>
        <w:t>immediately</w:t>
      </w:r>
      <w:proofErr w:type="gramEnd"/>
      <w:r w:rsidRPr="00B0540C">
        <w:rPr>
          <w:rFonts w:ascii="Calibri" w:hAnsi="Calibri" w:cs="Calibri"/>
          <w:sz w:val="22"/>
          <w:szCs w:val="22"/>
        </w:rPr>
        <w:t xml:space="preserve"> abolish the current practice of allowing people to repay debts using credit cards which leaves them with additional interest charges.</w:t>
      </w:r>
    </w:p>
    <w:p w:rsidR="00212CD5" w:rsidRPr="00B0540C" w:rsidRDefault="00212CD5" w:rsidP="00212CD5">
      <w:pPr>
        <w:pStyle w:val="NormalWeb"/>
        <w:numPr>
          <w:ilvl w:val="0"/>
          <w:numId w:val="17"/>
        </w:numPr>
        <w:rPr>
          <w:rFonts w:ascii="Calibri" w:hAnsi="Calibri" w:cs="Calibri"/>
          <w:sz w:val="22"/>
          <w:szCs w:val="22"/>
          <w:lang w:val="en-US"/>
        </w:rPr>
      </w:pPr>
      <w:proofErr w:type="gramStart"/>
      <w:r w:rsidRPr="00B0540C">
        <w:rPr>
          <w:rFonts w:ascii="Calibri" w:hAnsi="Calibri" w:cs="Calibri"/>
          <w:sz w:val="22"/>
          <w:szCs w:val="22"/>
        </w:rPr>
        <w:t>guarantee</w:t>
      </w:r>
      <w:proofErr w:type="gramEnd"/>
      <w:r w:rsidRPr="00B0540C">
        <w:rPr>
          <w:rFonts w:ascii="Calibri" w:hAnsi="Calibri" w:cs="Calibri"/>
          <w:sz w:val="22"/>
          <w:szCs w:val="22"/>
        </w:rPr>
        <w:t xml:space="preserve"> that no age pensioner is forced to sell or refinance their family home to pay debts except in cases where fraud has been proven.</w:t>
      </w:r>
    </w:p>
    <w:p w:rsidR="00212CD5" w:rsidRPr="00B0540C" w:rsidRDefault="00212CD5" w:rsidP="00212CD5">
      <w:pPr>
        <w:pStyle w:val="NormalWeb"/>
        <w:numPr>
          <w:ilvl w:val="0"/>
          <w:numId w:val="17"/>
        </w:numPr>
        <w:rPr>
          <w:rFonts w:ascii="Calibri" w:hAnsi="Calibri" w:cs="Calibri"/>
          <w:sz w:val="22"/>
          <w:szCs w:val="22"/>
          <w:lang w:val="en-US"/>
        </w:rPr>
      </w:pPr>
      <w:proofErr w:type="gramStart"/>
      <w:r w:rsidRPr="00B0540C">
        <w:rPr>
          <w:rFonts w:ascii="Calibri" w:hAnsi="Calibri" w:cs="Calibri"/>
          <w:sz w:val="22"/>
          <w:szCs w:val="22"/>
        </w:rPr>
        <w:t>toughen</w:t>
      </w:r>
      <w:proofErr w:type="gramEnd"/>
      <w:r w:rsidRPr="00B0540C">
        <w:rPr>
          <w:rFonts w:ascii="Calibri" w:hAnsi="Calibri" w:cs="Calibri"/>
          <w:sz w:val="22"/>
          <w:szCs w:val="22"/>
        </w:rPr>
        <w:t xml:space="preserve"> criminal penalties for those who wilfully defraud the system. </w:t>
      </w:r>
    </w:p>
    <w:p w:rsidR="00212CD5" w:rsidRPr="00AC44DC" w:rsidRDefault="00212CD5" w:rsidP="00AC44DC">
      <w:pPr>
        <w:pStyle w:val="Body"/>
        <w:spacing w:before="240"/>
        <w:jc w:val="left"/>
        <w:rPr>
          <w:rFonts w:asciiTheme="majorHAnsi" w:hAnsiTheme="majorHAnsi"/>
          <w:b/>
          <w:bCs/>
          <w:iCs/>
          <w:color w:val="4A442A" w:themeColor="background2" w:themeShade="40"/>
          <w:kern w:val="36"/>
          <w:sz w:val="24"/>
          <w:szCs w:val="28"/>
        </w:rPr>
      </w:pPr>
      <w:r w:rsidRPr="00543317">
        <w:rPr>
          <w:rStyle w:val="Heading3Char"/>
        </w:rPr>
        <w:t xml:space="preserve">Greater accountability </w:t>
      </w:r>
      <w:r w:rsidR="00AC44DC" w:rsidRPr="00543317">
        <w:rPr>
          <w:rStyle w:val="Heading3Char"/>
        </w:rPr>
        <w:br/>
      </w:r>
      <w:r w:rsidRPr="00AC44DC">
        <w:rPr>
          <w:rStyle w:val="Heading2Char1"/>
        </w:rPr>
        <w:br/>
      </w:r>
      <w:r w:rsidRPr="00B0540C">
        <w:t xml:space="preserve">Pensioners, families and income support recipients will be given greater assistance to appeal </w:t>
      </w:r>
      <w:proofErr w:type="spellStart"/>
      <w:r w:rsidRPr="00B0540C">
        <w:t>Centrelink</w:t>
      </w:r>
      <w:proofErr w:type="spellEnd"/>
      <w:r w:rsidRPr="00B0540C">
        <w:t xml:space="preserve"> decisions they believe are wrong</w:t>
      </w:r>
    </w:p>
    <w:p w:rsidR="00212CD5" w:rsidRPr="00B0540C" w:rsidRDefault="00212CD5" w:rsidP="00AC44DC">
      <w:pPr>
        <w:pStyle w:val="Body"/>
        <w:jc w:val="left"/>
        <w:rPr>
          <w:lang w:val="en-US"/>
        </w:rPr>
      </w:pPr>
      <w:proofErr w:type="spellStart"/>
      <w:r w:rsidRPr="00B0540C">
        <w:t>Centrelink</w:t>
      </w:r>
      <w:proofErr w:type="spellEnd"/>
      <w:r w:rsidRPr="00B0540C">
        <w:t xml:space="preserve"> clients currently have access to internal and external review if they believe a decision is wrong. Within </w:t>
      </w:r>
      <w:proofErr w:type="spellStart"/>
      <w:r w:rsidRPr="00B0540C">
        <w:t>Centrelink</w:t>
      </w:r>
      <w:proofErr w:type="spellEnd"/>
      <w:r w:rsidRPr="00B0540C">
        <w:t xml:space="preserve"> these review processes are also duplicated with a customer complaints phone line.</w:t>
      </w:r>
    </w:p>
    <w:p w:rsidR="00212CD5" w:rsidRPr="00B0540C" w:rsidRDefault="00212CD5" w:rsidP="00AC44DC">
      <w:pPr>
        <w:pStyle w:val="Body"/>
        <w:jc w:val="left"/>
        <w:rPr>
          <w:lang w:val="en-US"/>
        </w:rPr>
      </w:pPr>
      <w:proofErr w:type="spellStart"/>
      <w:r w:rsidRPr="00B0540C">
        <w:t>Labor</w:t>
      </w:r>
      <w:proofErr w:type="spellEnd"/>
      <w:r w:rsidRPr="00B0540C">
        <w:t xml:space="preserve"> will retain internal review processes in </w:t>
      </w:r>
      <w:proofErr w:type="spellStart"/>
      <w:r w:rsidRPr="00B0540C">
        <w:t>Centrelink</w:t>
      </w:r>
      <w:proofErr w:type="spellEnd"/>
      <w:r w:rsidRPr="00B0540C">
        <w:t xml:space="preserve"> but abolish its customer complaints phone line and give the $2 million a year saved to the National Welfare Rights Network. </w:t>
      </w:r>
    </w:p>
    <w:p w:rsidR="00212CD5" w:rsidRPr="00B0540C" w:rsidRDefault="00212CD5" w:rsidP="00AC44DC">
      <w:pPr>
        <w:pStyle w:val="Body"/>
        <w:jc w:val="left"/>
        <w:rPr>
          <w:lang w:val="en-US"/>
        </w:rPr>
      </w:pPr>
      <w:r w:rsidRPr="00B0540C">
        <w:t>These additional funds will strengthen resources within the National Welfare Rights Network to provide independent advice and legal assistance to families and pensioners who are considering appealing a decision.</w:t>
      </w:r>
    </w:p>
    <w:p w:rsidR="00212CD5" w:rsidRPr="00B0540C" w:rsidRDefault="00212CD5" w:rsidP="00AC44DC">
      <w:pPr>
        <w:pStyle w:val="Body"/>
        <w:jc w:val="left"/>
        <w:rPr>
          <w:lang w:val="en-US"/>
        </w:rPr>
      </w:pPr>
      <w:proofErr w:type="spellStart"/>
      <w:r w:rsidRPr="00B0540C">
        <w:t>Centrelink</w:t>
      </w:r>
      <w:proofErr w:type="spellEnd"/>
      <w:r w:rsidRPr="00B0540C">
        <w:t xml:space="preserve"> clients will still be able to make complaints concerning service through the general customer phone line and direct to </w:t>
      </w:r>
      <w:proofErr w:type="spellStart"/>
      <w:r w:rsidRPr="00B0540C">
        <w:t>Centrelink</w:t>
      </w:r>
      <w:proofErr w:type="spellEnd"/>
      <w:r w:rsidRPr="00B0540C">
        <w:t xml:space="preserve"> Office Managers.</w:t>
      </w:r>
    </w:p>
    <w:p w:rsidR="00212CD5" w:rsidRPr="00B0540C" w:rsidRDefault="00212CD5" w:rsidP="00AC44DC">
      <w:pPr>
        <w:pStyle w:val="Body"/>
        <w:jc w:val="left"/>
        <w:rPr>
          <w:lang w:val="en-US"/>
        </w:rPr>
      </w:pPr>
      <w:r w:rsidRPr="00543317">
        <w:rPr>
          <w:rStyle w:val="Heading3Char"/>
        </w:rPr>
        <w:t xml:space="preserve">Closer to the community </w:t>
      </w:r>
      <w:r w:rsidR="00AC44DC" w:rsidRPr="00543317">
        <w:rPr>
          <w:rStyle w:val="Heading3Char"/>
        </w:rPr>
        <w:br/>
      </w:r>
      <w:r w:rsidRPr="00AC44DC">
        <w:rPr>
          <w:rStyle w:val="Heading2Char1"/>
        </w:rPr>
        <w:br/>
      </w:r>
      <w:proofErr w:type="spellStart"/>
      <w:r w:rsidRPr="00B0540C">
        <w:t>Labor</w:t>
      </w:r>
      <w:proofErr w:type="spellEnd"/>
      <w:r w:rsidRPr="00B0540C">
        <w:t xml:space="preserve"> will ensure </w:t>
      </w:r>
      <w:proofErr w:type="spellStart"/>
      <w:r w:rsidRPr="00B0540C">
        <w:t>Centrelink</w:t>
      </w:r>
      <w:proofErr w:type="spellEnd"/>
      <w:r w:rsidRPr="00B0540C">
        <w:t xml:space="preserve"> customer service centres work more closely with local communities. </w:t>
      </w:r>
    </w:p>
    <w:p w:rsidR="00212CD5" w:rsidRPr="00B0540C" w:rsidRDefault="00212CD5" w:rsidP="00AC44DC">
      <w:pPr>
        <w:pStyle w:val="Body"/>
        <w:jc w:val="left"/>
        <w:rPr>
          <w:lang w:val="en-US"/>
        </w:rPr>
      </w:pPr>
      <w:r w:rsidRPr="00B0540C">
        <w:t xml:space="preserve">Local church and charities are forced to pick up the pieces when </w:t>
      </w:r>
      <w:proofErr w:type="spellStart"/>
      <w:r w:rsidRPr="00B0540C">
        <w:t>Centrelink</w:t>
      </w:r>
      <w:proofErr w:type="spellEnd"/>
      <w:r w:rsidRPr="00B0540C">
        <w:t xml:space="preserve"> cannot help. </w:t>
      </w:r>
    </w:p>
    <w:p w:rsidR="00212CD5" w:rsidRPr="00B0540C" w:rsidRDefault="00212CD5" w:rsidP="00AC44DC">
      <w:pPr>
        <w:pStyle w:val="Body"/>
        <w:jc w:val="left"/>
        <w:rPr>
          <w:lang w:val="en-US"/>
        </w:rPr>
      </w:pPr>
      <w:proofErr w:type="spellStart"/>
      <w:r w:rsidRPr="00B0540C">
        <w:t>Labor</w:t>
      </w:r>
      <w:proofErr w:type="spellEnd"/>
      <w:r w:rsidRPr="00B0540C">
        <w:t xml:space="preserve"> will: </w:t>
      </w:r>
    </w:p>
    <w:p w:rsidR="00212CD5" w:rsidRPr="00B0540C" w:rsidRDefault="00212CD5" w:rsidP="00212CD5">
      <w:pPr>
        <w:pStyle w:val="NormalWeb"/>
        <w:numPr>
          <w:ilvl w:val="0"/>
          <w:numId w:val="15"/>
        </w:numPr>
        <w:rPr>
          <w:rFonts w:ascii="Calibri" w:hAnsi="Calibri" w:cs="Calibri"/>
          <w:sz w:val="22"/>
          <w:szCs w:val="22"/>
          <w:lang w:val="en-US"/>
        </w:rPr>
      </w:pPr>
      <w:proofErr w:type="gramStart"/>
      <w:r w:rsidRPr="00B0540C">
        <w:rPr>
          <w:rFonts w:ascii="Calibri" w:hAnsi="Calibri" w:cs="Calibri"/>
          <w:sz w:val="22"/>
          <w:szCs w:val="22"/>
        </w:rPr>
        <w:t>ensure</w:t>
      </w:r>
      <w:proofErr w:type="gramEnd"/>
      <w:r w:rsidRPr="00B0540C">
        <w:rPr>
          <w:rFonts w:ascii="Calibri" w:hAnsi="Calibri" w:cs="Calibri"/>
          <w:sz w:val="22"/>
          <w:szCs w:val="22"/>
        </w:rPr>
        <w:t xml:space="preserve"> </w:t>
      </w:r>
      <w:proofErr w:type="spellStart"/>
      <w:r w:rsidRPr="00B0540C">
        <w:rPr>
          <w:rFonts w:ascii="Calibri" w:hAnsi="Calibri" w:cs="Calibri"/>
          <w:sz w:val="22"/>
          <w:szCs w:val="22"/>
        </w:rPr>
        <w:t>Centrelink</w:t>
      </w:r>
      <w:proofErr w:type="spellEnd"/>
      <w:r w:rsidRPr="00B0540C">
        <w:rPr>
          <w:rFonts w:ascii="Calibri" w:hAnsi="Calibri" w:cs="Calibri"/>
          <w:sz w:val="22"/>
          <w:szCs w:val="22"/>
        </w:rPr>
        <w:t xml:space="preserve"> clients requiring emergency relief payments are not referred to organisations with no funds. </w:t>
      </w:r>
    </w:p>
    <w:p w:rsidR="00212CD5" w:rsidRPr="00B0540C" w:rsidRDefault="00212CD5" w:rsidP="00212CD5">
      <w:pPr>
        <w:pStyle w:val="NormalWeb"/>
        <w:numPr>
          <w:ilvl w:val="0"/>
          <w:numId w:val="15"/>
        </w:numPr>
        <w:rPr>
          <w:rFonts w:ascii="Calibri" w:hAnsi="Calibri" w:cs="Calibri"/>
          <w:sz w:val="22"/>
          <w:szCs w:val="22"/>
          <w:lang w:val="en-US"/>
        </w:rPr>
      </w:pPr>
      <w:proofErr w:type="gramStart"/>
      <w:r w:rsidRPr="00B0540C">
        <w:rPr>
          <w:rFonts w:ascii="Calibri" w:hAnsi="Calibri" w:cs="Calibri"/>
          <w:sz w:val="22"/>
          <w:szCs w:val="22"/>
        </w:rPr>
        <w:t>ask</w:t>
      </w:r>
      <w:proofErr w:type="gramEnd"/>
      <w:r w:rsidRPr="00B0540C">
        <w:rPr>
          <w:rFonts w:ascii="Calibri" w:hAnsi="Calibri" w:cs="Calibri"/>
          <w:sz w:val="22"/>
          <w:szCs w:val="22"/>
        </w:rPr>
        <w:t xml:space="preserve"> local </w:t>
      </w:r>
      <w:proofErr w:type="spellStart"/>
      <w:r w:rsidRPr="00B0540C">
        <w:rPr>
          <w:rFonts w:ascii="Calibri" w:hAnsi="Calibri" w:cs="Calibri"/>
          <w:sz w:val="22"/>
          <w:szCs w:val="22"/>
        </w:rPr>
        <w:t>Centrelink</w:t>
      </w:r>
      <w:proofErr w:type="spellEnd"/>
      <w:r w:rsidRPr="00B0540C">
        <w:rPr>
          <w:rFonts w:ascii="Calibri" w:hAnsi="Calibri" w:cs="Calibri"/>
          <w:sz w:val="22"/>
          <w:szCs w:val="22"/>
        </w:rPr>
        <w:t xml:space="preserve"> staff to provide advice on funding decisions for local community projects.   </w:t>
      </w:r>
    </w:p>
    <w:p w:rsidR="00212CD5" w:rsidRPr="00B0540C" w:rsidRDefault="00212CD5" w:rsidP="00212CD5">
      <w:pPr>
        <w:pStyle w:val="NormalWeb"/>
        <w:numPr>
          <w:ilvl w:val="0"/>
          <w:numId w:val="15"/>
        </w:numPr>
        <w:rPr>
          <w:rFonts w:ascii="Calibri" w:hAnsi="Calibri" w:cs="Calibri"/>
          <w:sz w:val="22"/>
          <w:szCs w:val="22"/>
          <w:lang w:val="en-US"/>
        </w:rPr>
      </w:pPr>
      <w:proofErr w:type="gramStart"/>
      <w:r w:rsidRPr="00B0540C">
        <w:rPr>
          <w:rFonts w:ascii="Calibri" w:hAnsi="Calibri" w:cs="Calibri"/>
          <w:sz w:val="22"/>
          <w:szCs w:val="22"/>
        </w:rPr>
        <w:t>encourage</w:t>
      </w:r>
      <w:proofErr w:type="gramEnd"/>
      <w:r w:rsidRPr="00B0540C">
        <w:rPr>
          <w:rFonts w:ascii="Calibri" w:hAnsi="Calibri" w:cs="Calibri"/>
          <w:sz w:val="22"/>
          <w:szCs w:val="22"/>
        </w:rPr>
        <w:t xml:space="preserve"> the </w:t>
      </w:r>
      <w:proofErr w:type="spellStart"/>
      <w:r w:rsidRPr="00B0540C">
        <w:rPr>
          <w:rFonts w:ascii="Calibri" w:hAnsi="Calibri" w:cs="Calibri"/>
          <w:sz w:val="22"/>
          <w:szCs w:val="22"/>
        </w:rPr>
        <w:t>outposting</w:t>
      </w:r>
      <w:proofErr w:type="spellEnd"/>
      <w:r w:rsidRPr="00B0540C">
        <w:rPr>
          <w:rFonts w:ascii="Calibri" w:hAnsi="Calibri" w:cs="Calibri"/>
          <w:sz w:val="22"/>
          <w:szCs w:val="22"/>
        </w:rPr>
        <w:t xml:space="preserve"> and outreach of </w:t>
      </w:r>
      <w:proofErr w:type="spellStart"/>
      <w:r w:rsidRPr="00B0540C">
        <w:rPr>
          <w:rFonts w:ascii="Calibri" w:hAnsi="Calibri" w:cs="Calibri"/>
          <w:sz w:val="22"/>
          <w:szCs w:val="22"/>
        </w:rPr>
        <w:t>Centrelink</w:t>
      </w:r>
      <w:proofErr w:type="spellEnd"/>
      <w:r w:rsidRPr="00B0540C">
        <w:rPr>
          <w:rFonts w:ascii="Calibri" w:hAnsi="Calibri" w:cs="Calibri"/>
          <w:sz w:val="22"/>
          <w:szCs w:val="22"/>
        </w:rPr>
        <w:t xml:space="preserve"> staff into community centres, maternal and child health centres and homeless services.</w:t>
      </w:r>
    </w:p>
    <w:p w:rsidR="00212CD5" w:rsidRPr="00B0540C" w:rsidRDefault="00212CD5" w:rsidP="00212CD5">
      <w:pPr>
        <w:pStyle w:val="NormalWeb"/>
        <w:rPr>
          <w:rFonts w:ascii="Calibri" w:hAnsi="Calibri" w:cs="Calibri"/>
          <w:sz w:val="22"/>
          <w:szCs w:val="22"/>
          <w:lang w:val="en-US"/>
        </w:rPr>
      </w:pPr>
      <w:r w:rsidRPr="00B0540C">
        <w:rPr>
          <w:rFonts w:ascii="Calibri" w:hAnsi="Calibri" w:cs="Calibri"/>
          <w:sz w:val="22"/>
          <w:szCs w:val="22"/>
        </w:rPr>
        <w:t xml:space="preserve">These simple measures will go a long way to improving </w:t>
      </w:r>
      <w:proofErr w:type="spellStart"/>
      <w:r w:rsidRPr="00B0540C">
        <w:rPr>
          <w:rFonts w:ascii="Calibri" w:hAnsi="Calibri" w:cs="Calibri"/>
          <w:sz w:val="22"/>
          <w:szCs w:val="22"/>
        </w:rPr>
        <w:t>Centrelink</w:t>
      </w:r>
      <w:proofErr w:type="spellEnd"/>
      <w:r w:rsidRPr="00B0540C">
        <w:rPr>
          <w:rFonts w:ascii="Calibri" w:hAnsi="Calibri" w:cs="Calibri"/>
          <w:sz w:val="22"/>
          <w:szCs w:val="22"/>
        </w:rPr>
        <w:t xml:space="preserve"> service, reducing overpayments and improving accountability.</w:t>
      </w:r>
    </w:p>
    <w:p w:rsidR="004C77F6" w:rsidRPr="00FF5DE6" w:rsidRDefault="004C77F6" w:rsidP="00212CD5">
      <w:pPr>
        <w:jc w:val="center"/>
        <w:rPr>
          <w:rFonts w:ascii="Calibri" w:hAnsi="Calibri" w:cs="Calibri"/>
          <w:lang w:val="en-US"/>
        </w:rPr>
      </w:pPr>
    </w:p>
    <w:sectPr w:rsidR="004C77F6" w:rsidRPr="00FF5DE6" w:rsidSect="00212CD5">
      <w:footerReference w:type="defaul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730" w:rsidRDefault="00D40730" w:rsidP="004C77F6">
      <w:r>
        <w:separator/>
      </w:r>
    </w:p>
  </w:endnote>
  <w:endnote w:type="continuationSeparator" w:id="0">
    <w:p w:rsidR="00D40730" w:rsidRDefault="00D40730" w:rsidP="004C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Light">
    <w:altName w:val="Times New Roman"/>
    <w:panose1 w:val="00000000000000000000"/>
    <w:charset w:val="4D"/>
    <w:family w:val="swiss"/>
    <w:notTrueType/>
    <w:pitch w:val="default"/>
    <w:sig w:usb0="03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883" w:rsidRDefault="00E17883">
    <w:pPr>
      <w:pStyle w:val="Footer"/>
      <w:jc w:val="center"/>
    </w:pPr>
    <w:r>
      <w:fldChar w:fldCharType="begin"/>
    </w:r>
    <w:r>
      <w:instrText xml:space="preserve"> PAGE   \* MERGEFORMAT </w:instrText>
    </w:r>
    <w:r>
      <w:fldChar w:fldCharType="separate"/>
    </w:r>
    <w:r w:rsidR="004903C3">
      <w:rPr>
        <w:noProof/>
      </w:rPr>
      <w:t>3</w:t>
    </w:r>
    <w:r>
      <w:rPr>
        <w:noProof/>
      </w:rPr>
      <w:fldChar w:fldCharType="end"/>
    </w:r>
  </w:p>
  <w:p w:rsidR="00E17883" w:rsidRDefault="00E178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883" w:rsidRDefault="00E17883">
    <w:pPr>
      <w:pStyle w:val="Footer"/>
      <w:jc w:val="center"/>
    </w:pPr>
    <w:r>
      <w:fldChar w:fldCharType="begin"/>
    </w:r>
    <w:r>
      <w:instrText xml:space="preserve"> PAGE   \* MERGEFORMAT </w:instrText>
    </w:r>
    <w:r>
      <w:fldChar w:fldCharType="separate"/>
    </w:r>
    <w:r w:rsidR="004903C3">
      <w:rPr>
        <w:noProof/>
      </w:rPr>
      <w:t>22</w:t>
    </w:r>
    <w:r>
      <w:rPr>
        <w:noProof/>
      </w:rPr>
      <w:fldChar w:fldCharType="end"/>
    </w:r>
  </w:p>
  <w:p w:rsidR="00E17883" w:rsidRDefault="00E178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730" w:rsidRDefault="00D40730" w:rsidP="004C77F6">
      <w:r>
        <w:separator/>
      </w:r>
    </w:p>
  </w:footnote>
  <w:footnote w:type="continuationSeparator" w:id="0">
    <w:p w:rsidR="00D40730" w:rsidRDefault="00D40730" w:rsidP="004C77F6">
      <w:r>
        <w:continuationSeparator/>
      </w:r>
    </w:p>
  </w:footnote>
  <w:footnote w:id="1">
    <w:p w:rsidR="00E17883" w:rsidRPr="001219A8" w:rsidRDefault="00E17883">
      <w:pPr>
        <w:pStyle w:val="FootnoteText"/>
        <w:rPr>
          <w:sz w:val="18"/>
          <w:szCs w:val="18"/>
        </w:rPr>
      </w:pPr>
      <w:r>
        <w:rPr>
          <w:rStyle w:val="FootnoteReference"/>
        </w:rPr>
        <w:footnoteRef/>
      </w:r>
      <w:r>
        <w:t xml:space="preserve"> </w:t>
      </w:r>
      <w:r w:rsidRPr="001219A8">
        <w:rPr>
          <w:sz w:val="18"/>
          <w:szCs w:val="18"/>
        </w:rPr>
        <w:t xml:space="preserve">Commonwealth Ombudsman, </w:t>
      </w:r>
      <w:proofErr w:type="gramStart"/>
      <w:r w:rsidRPr="001219A8">
        <w:rPr>
          <w:i/>
          <w:sz w:val="18"/>
          <w:szCs w:val="18"/>
        </w:rPr>
        <w:t>2010-11 Annual Report</w:t>
      </w:r>
      <w:r w:rsidRPr="001219A8">
        <w:rPr>
          <w:sz w:val="18"/>
          <w:szCs w:val="18"/>
        </w:rPr>
        <w:t xml:space="preserve"> (unpublished)</w:t>
      </w:r>
      <w:proofErr w:type="gramEnd"/>
      <w:r w:rsidRPr="001219A8">
        <w:rPr>
          <w:sz w:val="18"/>
          <w:szCs w:val="18"/>
        </w:rPr>
        <w:t>.</w:t>
      </w:r>
    </w:p>
  </w:footnote>
  <w:footnote w:id="2">
    <w:p w:rsidR="00E17883" w:rsidRPr="001219A8" w:rsidRDefault="00E17883" w:rsidP="00212CD5">
      <w:pPr>
        <w:pStyle w:val="FootnoteText"/>
        <w:rPr>
          <w:sz w:val="18"/>
          <w:szCs w:val="18"/>
        </w:rPr>
      </w:pPr>
      <w:r w:rsidRPr="001219A8">
        <w:rPr>
          <w:rStyle w:val="FootnoteReference"/>
          <w:sz w:val="18"/>
          <w:szCs w:val="18"/>
        </w:rPr>
        <w:footnoteRef/>
      </w:r>
      <w:r w:rsidRPr="001219A8">
        <w:rPr>
          <w:sz w:val="18"/>
          <w:szCs w:val="18"/>
        </w:rPr>
        <w:t xml:space="preserve"> </w:t>
      </w:r>
      <w:proofErr w:type="spellStart"/>
      <w:r w:rsidRPr="001219A8">
        <w:rPr>
          <w:sz w:val="18"/>
          <w:szCs w:val="18"/>
        </w:rPr>
        <w:t>Centrelink</w:t>
      </w:r>
      <w:proofErr w:type="spellEnd"/>
      <w:r w:rsidRPr="001219A8">
        <w:rPr>
          <w:sz w:val="18"/>
          <w:szCs w:val="18"/>
        </w:rPr>
        <w:t xml:space="preserve">, </w:t>
      </w:r>
      <w:r w:rsidRPr="001219A8">
        <w:rPr>
          <w:i/>
          <w:sz w:val="18"/>
          <w:szCs w:val="18"/>
        </w:rPr>
        <w:t>Annual Reports</w:t>
      </w:r>
      <w:r w:rsidRPr="001219A8">
        <w:rPr>
          <w:sz w:val="18"/>
          <w:szCs w:val="18"/>
        </w:rPr>
        <w:t>, 2009-10 and 2010-11.</w:t>
      </w:r>
    </w:p>
  </w:footnote>
  <w:footnote w:id="3">
    <w:p w:rsidR="00E17883" w:rsidRPr="00505DF3" w:rsidRDefault="00E17883">
      <w:pPr>
        <w:pStyle w:val="FootnoteText"/>
        <w:rPr>
          <w:sz w:val="18"/>
          <w:szCs w:val="18"/>
        </w:rPr>
      </w:pPr>
      <w:r>
        <w:rPr>
          <w:rStyle w:val="FootnoteReference"/>
        </w:rPr>
        <w:footnoteRef/>
      </w:r>
      <w:r>
        <w:t xml:space="preserve"> </w:t>
      </w:r>
      <w:proofErr w:type="gramStart"/>
      <w:r>
        <w:rPr>
          <w:sz w:val="18"/>
          <w:szCs w:val="18"/>
        </w:rPr>
        <w:t>Ibid</w:t>
      </w:r>
      <w:r w:rsidRPr="00505DF3">
        <w:rPr>
          <w:sz w:val="18"/>
          <w:szCs w:val="18"/>
        </w:rPr>
        <w:t xml:space="preserve">. </w:t>
      </w:r>
      <w:r>
        <w:rPr>
          <w:sz w:val="18"/>
          <w:szCs w:val="18"/>
        </w:rPr>
        <w:t>p. 46.</w:t>
      </w:r>
      <w:proofErr w:type="gramEnd"/>
      <w:r>
        <w:rPr>
          <w:sz w:val="18"/>
          <w:szCs w:val="18"/>
        </w:rPr>
        <w:t xml:space="preserve"> </w:t>
      </w:r>
      <w:r w:rsidRPr="00505DF3">
        <w:rPr>
          <w:sz w:val="18"/>
          <w:szCs w:val="18"/>
        </w:rPr>
        <w:t xml:space="preserve">These complaints are received by the Customer Relations Unit </w:t>
      </w:r>
      <w:r w:rsidR="00B40515" w:rsidRPr="00505DF3">
        <w:rPr>
          <w:sz w:val="18"/>
          <w:szCs w:val="18"/>
        </w:rPr>
        <w:t>Free call</w:t>
      </w:r>
      <w:r w:rsidRPr="00505DF3">
        <w:rPr>
          <w:sz w:val="18"/>
          <w:szCs w:val="18"/>
        </w:rPr>
        <w:t xml:space="preserve"> Number, </w:t>
      </w:r>
      <w:proofErr w:type="spellStart"/>
      <w:r w:rsidRPr="00505DF3">
        <w:rPr>
          <w:sz w:val="18"/>
          <w:szCs w:val="18"/>
        </w:rPr>
        <w:t>Centrelink</w:t>
      </w:r>
      <w:proofErr w:type="spellEnd"/>
      <w:r w:rsidRPr="00505DF3">
        <w:rPr>
          <w:sz w:val="18"/>
          <w:szCs w:val="18"/>
        </w:rPr>
        <w:t xml:space="preserve"> Call and Customer Service Centres</w:t>
      </w:r>
      <w:r>
        <w:rPr>
          <w:sz w:val="18"/>
          <w:szCs w:val="18"/>
        </w:rPr>
        <w:t>.</w:t>
      </w:r>
    </w:p>
  </w:footnote>
  <w:footnote w:id="4">
    <w:p w:rsidR="00E17883" w:rsidRPr="00543317" w:rsidRDefault="00E17883">
      <w:pPr>
        <w:pStyle w:val="FootnoteText"/>
        <w:rPr>
          <w:sz w:val="18"/>
          <w:szCs w:val="18"/>
        </w:rPr>
      </w:pPr>
      <w:r w:rsidRPr="00543317">
        <w:rPr>
          <w:rStyle w:val="FootnoteReference"/>
          <w:sz w:val="18"/>
          <w:szCs w:val="18"/>
        </w:rPr>
        <w:footnoteRef/>
      </w:r>
      <w:r w:rsidRPr="00543317">
        <w:rPr>
          <w:sz w:val="18"/>
          <w:szCs w:val="18"/>
        </w:rPr>
        <w:t xml:space="preserve"> </w:t>
      </w:r>
      <w:proofErr w:type="gramStart"/>
      <w:r w:rsidRPr="00543317">
        <w:rPr>
          <w:sz w:val="18"/>
          <w:szCs w:val="18"/>
        </w:rPr>
        <w:t>Ibid, p. 48.</w:t>
      </w:r>
      <w:proofErr w:type="gramEnd"/>
    </w:p>
  </w:footnote>
  <w:footnote w:id="5">
    <w:p w:rsidR="00E17883" w:rsidRPr="00A325BE" w:rsidRDefault="00E17883">
      <w:pPr>
        <w:pStyle w:val="FootnoteText"/>
        <w:rPr>
          <w:sz w:val="18"/>
          <w:szCs w:val="18"/>
        </w:rPr>
      </w:pPr>
      <w:r w:rsidRPr="001219A8">
        <w:rPr>
          <w:rStyle w:val="FootnoteReference"/>
          <w:sz w:val="18"/>
          <w:szCs w:val="18"/>
        </w:rPr>
        <w:footnoteRef/>
      </w:r>
      <w:r w:rsidRPr="001219A8">
        <w:rPr>
          <w:sz w:val="18"/>
          <w:szCs w:val="18"/>
        </w:rPr>
        <w:t xml:space="preserve"> Social Security Appeals Tribunal, </w:t>
      </w:r>
      <w:r w:rsidRPr="001219A8">
        <w:rPr>
          <w:i/>
          <w:sz w:val="18"/>
          <w:szCs w:val="18"/>
        </w:rPr>
        <w:t>Annual Report</w:t>
      </w:r>
      <w:r>
        <w:rPr>
          <w:i/>
          <w:sz w:val="18"/>
          <w:szCs w:val="18"/>
        </w:rPr>
        <w:t xml:space="preserve">, </w:t>
      </w:r>
      <w:r w:rsidRPr="00A325BE">
        <w:rPr>
          <w:sz w:val="18"/>
          <w:szCs w:val="18"/>
        </w:rPr>
        <w:t>2010-11.</w:t>
      </w:r>
    </w:p>
  </w:footnote>
  <w:footnote w:id="6">
    <w:p w:rsidR="00E17883" w:rsidRPr="001219A8" w:rsidRDefault="00E17883" w:rsidP="00212CD5">
      <w:pPr>
        <w:pStyle w:val="FootnoteText"/>
        <w:rPr>
          <w:sz w:val="18"/>
          <w:szCs w:val="18"/>
        </w:rPr>
      </w:pPr>
      <w:r w:rsidRPr="001219A8">
        <w:rPr>
          <w:rStyle w:val="FootnoteReference"/>
          <w:sz w:val="18"/>
          <w:szCs w:val="18"/>
        </w:rPr>
        <w:footnoteRef/>
      </w:r>
      <w:r w:rsidRPr="001219A8">
        <w:rPr>
          <w:sz w:val="18"/>
          <w:szCs w:val="18"/>
        </w:rPr>
        <w:t xml:space="preserve"> See Attachment 1: Information and factsheets published by Welfare Rights. View at:  www.welfarerights.org.au</w:t>
      </w:r>
    </w:p>
  </w:footnote>
  <w:footnote w:id="7">
    <w:p w:rsidR="00E17883" w:rsidRPr="00543317" w:rsidRDefault="00E17883" w:rsidP="00212CD5">
      <w:pPr>
        <w:pStyle w:val="FootnoteText"/>
        <w:rPr>
          <w:sz w:val="18"/>
        </w:rPr>
      </w:pPr>
      <w:r w:rsidRPr="00543317">
        <w:rPr>
          <w:rStyle w:val="FootnoteReference"/>
          <w:sz w:val="18"/>
        </w:rPr>
        <w:footnoteRef/>
      </w:r>
      <w:r w:rsidRPr="00543317">
        <w:rPr>
          <w:sz w:val="18"/>
        </w:rPr>
        <w:t xml:space="preserve"> Senate Legal and Constitutional Affairs Reference Committee, </w:t>
      </w:r>
      <w:r w:rsidRPr="00543317">
        <w:rPr>
          <w:i/>
          <w:sz w:val="18"/>
        </w:rPr>
        <w:t>Report into Government Compensation Payments</w:t>
      </w:r>
      <w:r w:rsidRPr="00543317">
        <w:rPr>
          <w:sz w:val="18"/>
        </w:rPr>
        <w:t>, 6 December 2010.</w:t>
      </w:r>
    </w:p>
  </w:footnote>
  <w:footnote w:id="8">
    <w:p w:rsidR="00E17883" w:rsidRDefault="00E17883">
      <w:pPr>
        <w:pStyle w:val="FootnoteText"/>
      </w:pPr>
      <w:r>
        <w:rPr>
          <w:rStyle w:val="FootnoteReference"/>
        </w:rPr>
        <w:footnoteRef/>
      </w:r>
      <w:r>
        <w:t xml:space="preserve"> </w:t>
      </w:r>
      <w:r>
        <w:rPr>
          <w:sz w:val="18"/>
        </w:rPr>
        <w:t>Attorney-</w:t>
      </w:r>
      <w:r w:rsidRPr="00543317">
        <w:rPr>
          <w:sz w:val="18"/>
        </w:rPr>
        <w:t>General</w:t>
      </w:r>
      <w:r>
        <w:rPr>
          <w:sz w:val="18"/>
        </w:rPr>
        <w:t>’s Department</w:t>
      </w:r>
      <w:r w:rsidRPr="00543317">
        <w:rPr>
          <w:sz w:val="18"/>
        </w:rPr>
        <w:t xml:space="preserve">, </w:t>
      </w:r>
      <w:r>
        <w:rPr>
          <w:i/>
          <w:sz w:val="18"/>
        </w:rPr>
        <w:t>A S</w:t>
      </w:r>
      <w:r w:rsidRPr="00A325BE">
        <w:rPr>
          <w:i/>
          <w:sz w:val="18"/>
        </w:rPr>
        <w:t>trategic Framework for Access to Justice Access to Justice in the Federal Civil Justice System</w:t>
      </w:r>
      <w:r>
        <w:rPr>
          <w:sz w:val="18"/>
        </w:rPr>
        <w:t>,</w:t>
      </w:r>
      <w:r w:rsidRPr="00543317">
        <w:rPr>
          <w:sz w:val="18"/>
        </w:rPr>
        <w:t xml:space="preserve"> 2010.</w:t>
      </w:r>
    </w:p>
  </w:footnote>
  <w:footnote w:id="9">
    <w:p w:rsidR="00E17883" w:rsidRPr="003B6F26" w:rsidRDefault="00E17883" w:rsidP="00212CD5">
      <w:pPr>
        <w:autoSpaceDE w:val="0"/>
        <w:autoSpaceDN w:val="0"/>
        <w:adjustRightInd w:val="0"/>
        <w:rPr>
          <w:bCs/>
          <w:i/>
          <w:sz w:val="18"/>
          <w:szCs w:val="18"/>
          <w:lang w:eastAsia="en-AU"/>
        </w:rPr>
      </w:pPr>
      <w:r w:rsidRPr="003B6F26">
        <w:rPr>
          <w:rStyle w:val="FootnoteReference"/>
          <w:sz w:val="18"/>
          <w:szCs w:val="18"/>
        </w:rPr>
        <w:footnoteRef/>
      </w:r>
      <w:r w:rsidRPr="003B6F26">
        <w:rPr>
          <w:sz w:val="18"/>
          <w:szCs w:val="18"/>
        </w:rPr>
        <w:t xml:space="preserve"> </w:t>
      </w:r>
      <w:r w:rsidRPr="003B6F26">
        <w:rPr>
          <w:bCs/>
          <w:sz w:val="18"/>
          <w:szCs w:val="18"/>
          <w:lang w:eastAsia="en-AU"/>
        </w:rPr>
        <w:t xml:space="preserve">Senate Inquiry into the Social Security and Other Legislation Amendment Bill 2011, </w:t>
      </w:r>
      <w:r w:rsidRPr="003B6F26">
        <w:rPr>
          <w:bCs/>
          <w:i/>
          <w:sz w:val="18"/>
          <w:szCs w:val="18"/>
          <w:lang w:eastAsia="en-AU"/>
        </w:rPr>
        <w:t>Written Question on Notice No. 2, at the hearing on 8 September 2011: Access to advice and assistance and information for people experiencing problems.</w:t>
      </w:r>
    </w:p>
    <w:p w:rsidR="00E17883" w:rsidRDefault="00E17883" w:rsidP="00212CD5">
      <w:pPr>
        <w:pStyle w:val="FootnoteText"/>
      </w:pPr>
    </w:p>
  </w:footnote>
  <w:footnote w:id="10">
    <w:p w:rsidR="00E17883" w:rsidRPr="00543317" w:rsidRDefault="00E17883" w:rsidP="00212CD5">
      <w:pPr>
        <w:pStyle w:val="FootnoteText"/>
        <w:rPr>
          <w:sz w:val="18"/>
          <w:szCs w:val="18"/>
        </w:rPr>
      </w:pPr>
      <w:r w:rsidRPr="004F072A">
        <w:rPr>
          <w:rStyle w:val="FootnoteReference"/>
        </w:rPr>
        <w:footnoteRef/>
      </w:r>
      <w:r w:rsidRPr="004F072A">
        <w:t xml:space="preserve"> </w:t>
      </w:r>
      <w:r w:rsidRPr="00543317">
        <w:rPr>
          <w:sz w:val="18"/>
          <w:szCs w:val="18"/>
        </w:rPr>
        <w:t xml:space="preserve">The Welfare Rights Centre </w:t>
      </w:r>
      <w:r w:rsidR="00B40515" w:rsidRPr="00543317">
        <w:rPr>
          <w:sz w:val="18"/>
          <w:szCs w:val="18"/>
        </w:rPr>
        <w:t>Sydney</w:t>
      </w:r>
      <w:r w:rsidRPr="00543317">
        <w:rPr>
          <w:sz w:val="18"/>
          <w:szCs w:val="18"/>
        </w:rPr>
        <w:t xml:space="preserve"> has raised this issue with the Government Action Leader for Bankstown – even though we remain opposed to income management and its expansion to new locations. Similar discussions regarding the need for independent information for income support recipients in other locations, such as Shepparton in Victoria, has also been raised in discussions with local communities. NWRN notes and welcomes the Attorney General’s Department’s funding of the Welfare Rights Outreach Project to provide information and advice about income support issues related to welfare reform and income management matters in the Northern Territory since 2007. NWRN collaborates closely with CAALAS and NAAJA, the legal agencies involved in the program.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1B65"/>
    <w:multiLevelType w:val="hybridMultilevel"/>
    <w:tmpl w:val="6EB22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3719BA"/>
    <w:multiLevelType w:val="hybridMultilevel"/>
    <w:tmpl w:val="5CDCC19A"/>
    <w:lvl w:ilvl="0" w:tplc="A330EF7E">
      <w:start w:val="1"/>
      <w:numFmt w:val="decimal"/>
      <w:lvlText w:val="%1.2"/>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2A73CB6"/>
    <w:multiLevelType w:val="hybridMultilevel"/>
    <w:tmpl w:val="AB845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F865D4"/>
    <w:multiLevelType w:val="hybridMultilevel"/>
    <w:tmpl w:val="9F7E0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2A5782"/>
    <w:multiLevelType w:val="multilevel"/>
    <w:tmpl w:val="DE10C7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56261EC"/>
    <w:multiLevelType w:val="hybridMultilevel"/>
    <w:tmpl w:val="E0B8947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BC56739"/>
    <w:multiLevelType w:val="hybridMultilevel"/>
    <w:tmpl w:val="8FD08F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C2D6E54"/>
    <w:multiLevelType w:val="hybridMultilevel"/>
    <w:tmpl w:val="7410F030"/>
    <w:lvl w:ilvl="0" w:tplc="FCAE24E8">
      <w:start w:val="5"/>
      <w:numFmt w:val="decimal"/>
      <w:pStyle w:val="Heading2"/>
      <w:lvlText w:val="%1.2"/>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E4F4A99"/>
    <w:multiLevelType w:val="hybridMultilevel"/>
    <w:tmpl w:val="046CF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E7E2120"/>
    <w:multiLevelType w:val="hybridMultilevel"/>
    <w:tmpl w:val="D53CF6E2"/>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41343C25"/>
    <w:multiLevelType w:val="multilevel"/>
    <w:tmpl w:val="21F4FE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FB94369"/>
    <w:multiLevelType w:val="hybridMultilevel"/>
    <w:tmpl w:val="9640B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29733AD"/>
    <w:multiLevelType w:val="multilevel"/>
    <w:tmpl w:val="482E599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7DC69DE"/>
    <w:multiLevelType w:val="multilevel"/>
    <w:tmpl w:val="68C81F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1025E0B"/>
    <w:multiLevelType w:val="hybridMultilevel"/>
    <w:tmpl w:val="9D925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9BA575E"/>
    <w:multiLevelType w:val="hybridMultilevel"/>
    <w:tmpl w:val="F2B0FECE"/>
    <w:lvl w:ilvl="0" w:tplc="4296E8DC">
      <w:start w:val="4"/>
      <w:numFmt w:val="decimal"/>
      <w:lvlText w:val="%1.2"/>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AE934EA"/>
    <w:multiLevelType w:val="hybridMultilevel"/>
    <w:tmpl w:val="73226B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6F2F200B"/>
    <w:multiLevelType w:val="hybridMultilevel"/>
    <w:tmpl w:val="DA5812EE"/>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nsid w:val="718132B0"/>
    <w:multiLevelType w:val="hybridMultilevel"/>
    <w:tmpl w:val="7DCED5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7BE312B2"/>
    <w:multiLevelType w:val="hybridMultilevel"/>
    <w:tmpl w:val="197AA6D0"/>
    <w:lvl w:ilvl="0" w:tplc="2958812A">
      <w:start w:val="1"/>
      <w:numFmt w:val="bullet"/>
      <w:pStyle w:val="bulletbody"/>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nsid w:val="7EEC07E9"/>
    <w:multiLevelType w:val="multilevel"/>
    <w:tmpl w:val="2DF688CA"/>
    <w:lvl w:ilvl="0">
      <w:start w:val="1"/>
      <w:numFmt w:val="decimal"/>
      <w:pStyle w:val="Heading1"/>
      <w:lvlText w:val="%1."/>
      <w:lvlJc w:val="left"/>
      <w:pPr>
        <w:ind w:left="720" w:hanging="360"/>
      </w:pPr>
    </w:lvl>
    <w:lvl w:ilvl="1">
      <w:start w:val="1"/>
      <w:numFmt w:val="decimal"/>
      <w:isLgl/>
      <w:lvlText w:val="%1.%2"/>
      <w:lvlJc w:val="left"/>
      <w:pPr>
        <w:ind w:left="720" w:hanging="360"/>
      </w:pPr>
      <w:rPr>
        <w:rFonts w:eastAsia="Times New Roman" w:cs="Arial" w:hint="default"/>
        <w:b/>
      </w:rPr>
    </w:lvl>
    <w:lvl w:ilvl="2">
      <w:start w:val="1"/>
      <w:numFmt w:val="decimal"/>
      <w:isLgl/>
      <w:lvlText w:val="%1.%2.%3"/>
      <w:lvlJc w:val="left"/>
      <w:pPr>
        <w:ind w:left="1080" w:hanging="720"/>
      </w:pPr>
      <w:rPr>
        <w:rFonts w:eastAsia="Times New Roman" w:cs="Arial" w:hint="default"/>
        <w:b/>
      </w:rPr>
    </w:lvl>
    <w:lvl w:ilvl="3">
      <w:start w:val="1"/>
      <w:numFmt w:val="decimal"/>
      <w:isLgl/>
      <w:lvlText w:val="%1.%2.%3.%4"/>
      <w:lvlJc w:val="left"/>
      <w:pPr>
        <w:ind w:left="1440" w:hanging="1080"/>
      </w:pPr>
      <w:rPr>
        <w:rFonts w:eastAsia="Times New Roman" w:cs="Arial" w:hint="default"/>
        <w:b/>
      </w:rPr>
    </w:lvl>
    <w:lvl w:ilvl="4">
      <w:start w:val="1"/>
      <w:numFmt w:val="decimal"/>
      <w:isLgl/>
      <w:lvlText w:val="%1.%2.%3.%4.%5"/>
      <w:lvlJc w:val="left"/>
      <w:pPr>
        <w:ind w:left="1440" w:hanging="1080"/>
      </w:pPr>
      <w:rPr>
        <w:rFonts w:eastAsia="Times New Roman" w:cs="Arial" w:hint="default"/>
        <w:b/>
      </w:rPr>
    </w:lvl>
    <w:lvl w:ilvl="5">
      <w:start w:val="1"/>
      <w:numFmt w:val="decimal"/>
      <w:isLgl/>
      <w:lvlText w:val="%1.%2.%3.%4.%5.%6"/>
      <w:lvlJc w:val="left"/>
      <w:pPr>
        <w:ind w:left="1800" w:hanging="1440"/>
      </w:pPr>
      <w:rPr>
        <w:rFonts w:eastAsia="Times New Roman" w:cs="Arial" w:hint="default"/>
        <w:b/>
      </w:rPr>
    </w:lvl>
    <w:lvl w:ilvl="6">
      <w:start w:val="1"/>
      <w:numFmt w:val="decimal"/>
      <w:isLgl/>
      <w:lvlText w:val="%1.%2.%3.%4.%5.%6.%7"/>
      <w:lvlJc w:val="left"/>
      <w:pPr>
        <w:ind w:left="1800" w:hanging="1440"/>
      </w:pPr>
      <w:rPr>
        <w:rFonts w:eastAsia="Times New Roman" w:cs="Arial" w:hint="default"/>
        <w:b/>
      </w:rPr>
    </w:lvl>
    <w:lvl w:ilvl="7">
      <w:start w:val="1"/>
      <w:numFmt w:val="decimal"/>
      <w:isLgl/>
      <w:lvlText w:val="%1.%2.%3.%4.%5.%6.%7.%8"/>
      <w:lvlJc w:val="left"/>
      <w:pPr>
        <w:ind w:left="2160" w:hanging="1800"/>
      </w:pPr>
      <w:rPr>
        <w:rFonts w:eastAsia="Times New Roman" w:cs="Arial" w:hint="default"/>
        <w:b/>
      </w:rPr>
    </w:lvl>
    <w:lvl w:ilvl="8">
      <w:start w:val="1"/>
      <w:numFmt w:val="decimal"/>
      <w:isLgl/>
      <w:lvlText w:val="%1.%2.%3.%4.%5.%6.%7.%8.%9"/>
      <w:lvlJc w:val="left"/>
      <w:pPr>
        <w:ind w:left="2160" w:hanging="1800"/>
      </w:pPr>
      <w:rPr>
        <w:rFonts w:eastAsia="Times New Roman" w:cs="Arial" w:hint="default"/>
        <w:b/>
      </w:rPr>
    </w:lvl>
  </w:abstractNum>
  <w:num w:numId="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4"/>
  </w:num>
  <w:num w:numId="7">
    <w:abstractNumId w:val="18"/>
  </w:num>
  <w:num w:numId="8">
    <w:abstractNumId w:val="8"/>
  </w:num>
  <w:num w:numId="9">
    <w:abstractNumId w:val="2"/>
  </w:num>
  <w:num w:numId="10">
    <w:abstractNumId w:val="11"/>
  </w:num>
  <w:num w:numId="1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6"/>
  </w:num>
  <w:num w:numId="20">
    <w:abstractNumId w:val="9"/>
  </w:num>
  <w:num w:numId="21">
    <w:abstractNumId w:val="16"/>
  </w:num>
  <w:num w:numId="22">
    <w:abstractNumId w:val="3"/>
  </w:num>
  <w:num w:numId="23">
    <w:abstractNumId w:val="12"/>
  </w:num>
  <w:num w:numId="24">
    <w:abstractNumId w:val="4"/>
  </w:num>
  <w:num w:numId="25">
    <w:abstractNumId w:val="20"/>
  </w:num>
  <w:num w:numId="26">
    <w:abstractNumId w:val="0"/>
  </w:num>
  <w:num w:numId="27">
    <w:abstractNumId w:val="7"/>
  </w:num>
  <w:num w:numId="28">
    <w:abstractNumId w:val="1"/>
  </w:num>
  <w:num w:numId="29">
    <w:abstractNumId w:val="15"/>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0A5"/>
    <w:rsid w:val="00022C5E"/>
    <w:rsid w:val="000256E4"/>
    <w:rsid w:val="000B7DDC"/>
    <w:rsid w:val="001175CD"/>
    <w:rsid w:val="001219A8"/>
    <w:rsid w:val="00141E45"/>
    <w:rsid w:val="00196F16"/>
    <w:rsid w:val="001B04A0"/>
    <w:rsid w:val="001D4626"/>
    <w:rsid w:val="00210F0D"/>
    <w:rsid w:val="00212CD5"/>
    <w:rsid w:val="00253C89"/>
    <w:rsid w:val="00254F2E"/>
    <w:rsid w:val="00263D6D"/>
    <w:rsid w:val="00275D89"/>
    <w:rsid w:val="0028130C"/>
    <w:rsid w:val="00290E74"/>
    <w:rsid w:val="00296288"/>
    <w:rsid w:val="002C5815"/>
    <w:rsid w:val="002D239D"/>
    <w:rsid w:val="002E2477"/>
    <w:rsid w:val="00314A45"/>
    <w:rsid w:val="00327116"/>
    <w:rsid w:val="00345AEC"/>
    <w:rsid w:val="003B639A"/>
    <w:rsid w:val="003B6F26"/>
    <w:rsid w:val="003C45A1"/>
    <w:rsid w:val="003E3878"/>
    <w:rsid w:val="003E6CBD"/>
    <w:rsid w:val="0041290E"/>
    <w:rsid w:val="0043336B"/>
    <w:rsid w:val="00485139"/>
    <w:rsid w:val="004903C3"/>
    <w:rsid w:val="004909C3"/>
    <w:rsid w:val="004A18E1"/>
    <w:rsid w:val="004C2B29"/>
    <w:rsid w:val="004C42C1"/>
    <w:rsid w:val="004C77F6"/>
    <w:rsid w:val="004D062F"/>
    <w:rsid w:val="004D12A5"/>
    <w:rsid w:val="004D24D1"/>
    <w:rsid w:val="004E2F3F"/>
    <w:rsid w:val="004F072A"/>
    <w:rsid w:val="00505DF3"/>
    <w:rsid w:val="00543317"/>
    <w:rsid w:val="00560133"/>
    <w:rsid w:val="0056019D"/>
    <w:rsid w:val="00560AE7"/>
    <w:rsid w:val="00577467"/>
    <w:rsid w:val="005A0408"/>
    <w:rsid w:val="005A4703"/>
    <w:rsid w:val="005A633D"/>
    <w:rsid w:val="005B0AE8"/>
    <w:rsid w:val="005D7DF1"/>
    <w:rsid w:val="005F4A36"/>
    <w:rsid w:val="00605EB0"/>
    <w:rsid w:val="006203EC"/>
    <w:rsid w:val="00621D19"/>
    <w:rsid w:val="00630020"/>
    <w:rsid w:val="006424FF"/>
    <w:rsid w:val="0066263F"/>
    <w:rsid w:val="00673ED8"/>
    <w:rsid w:val="00675195"/>
    <w:rsid w:val="006C302A"/>
    <w:rsid w:val="006C4C97"/>
    <w:rsid w:val="006D27A5"/>
    <w:rsid w:val="006F2AAB"/>
    <w:rsid w:val="007024DD"/>
    <w:rsid w:val="00731CDF"/>
    <w:rsid w:val="00753B90"/>
    <w:rsid w:val="007879A5"/>
    <w:rsid w:val="007C1C7E"/>
    <w:rsid w:val="007E272C"/>
    <w:rsid w:val="007F7D8D"/>
    <w:rsid w:val="007F7EAE"/>
    <w:rsid w:val="00817FE9"/>
    <w:rsid w:val="00823684"/>
    <w:rsid w:val="00830765"/>
    <w:rsid w:val="00841CDC"/>
    <w:rsid w:val="00844962"/>
    <w:rsid w:val="00851586"/>
    <w:rsid w:val="00853C64"/>
    <w:rsid w:val="00855F31"/>
    <w:rsid w:val="0085625E"/>
    <w:rsid w:val="00862409"/>
    <w:rsid w:val="008650A5"/>
    <w:rsid w:val="008A010B"/>
    <w:rsid w:val="008A7D90"/>
    <w:rsid w:val="008D5808"/>
    <w:rsid w:val="008D6474"/>
    <w:rsid w:val="008F636B"/>
    <w:rsid w:val="009126AD"/>
    <w:rsid w:val="009634A5"/>
    <w:rsid w:val="009648C8"/>
    <w:rsid w:val="00964DB2"/>
    <w:rsid w:val="00966FA0"/>
    <w:rsid w:val="009816B7"/>
    <w:rsid w:val="00983B01"/>
    <w:rsid w:val="009C0225"/>
    <w:rsid w:val="009C3053"/>
    <w:rsid w:val="009D71CD"/>
    <w:rsid w:val="00A179AE"/>
    <w:rsid w:val="00A325BE"/>
    <w:rsid w:val="00A350BB"/>
    <w:rsid w:val="00A44070"/>
    <w:rsid w:val="00A52D75"/>
    <w:rsid w:val="00A9371E"/>
    <w:rsid w:val="00AA3E25"/>
    <w:rsid w:val="00AA5FC0"/>
    <w:rsid w:val="00AA71E7"/>
    <w:rsid w:val="00AB023A"/>
    <w:rsid w:val="00AC44DC"/>
    <w:rsid w:val="00AF12DF"/>
    <w:rsid w:val="00AF2F2A"/>
    <w:rsid w:val="00AF439E"/>
    <w:rsid w:val="00AF6F75"/>
    <w:rsid w:val="00B03D9C"/>
    <w:rsid w:val="00B0540C"/>
    <w:rsid w:val="00B16762"/>
    <w:rsid w:val="00B222FE"/>
    <w:rsid w:val="00B40515"/>
    <w:rsid w:val="00B46901"/>
    <w:rsid w:val="00B71F41"/>
    <w:rsid w:val="00B72E48"/>
    <w:rsid w:val="00B74B7B"/>
    <w:rsid w:val="00BA00FA"/>
    <w:rsid w:val="00BA054D"/>
    <w:rsid w:val="00BE4253"/>
    <w:rsid w:val="00BF5B11"/>
    <w:rsid w:val="00C0457B"/>
    <w:rsid w:val="00C055F2"/>
    <w:rsid w:val="00C30B19"/>
    <w:rsid w:val="00C337EA"/>
    <w:rsid w:val="00C5698F"/>
    <w:rsid w:val="00C8219E"/>
    <w:rsid w:val="00C90AA6"/>
    <w:rsid w:val="00CC5FB7"/>
    <w:rsid w:val="00CC63F6"/>
    <w:rsid w:val="00CE1A5A"/>
    <w:rsid w:val="00CE6D31"/>
    <w:rsid w:val="00CF4EBC"/>
    <w:rsid w:val="00CF7010"/>
    <w:rsid w:val="00D0417A"/>
    <w:rsid w:val="00D06CCE"/>
    <w:rsid w:val="00D07FAB"/>
    <w:rsid w:val="00D1692A"/>
    <w:rsid w:val="00D17A1F"/>
    <w:rsid w:val="00D17B7D"/>
    <w:rsid w:val="00D40730"/>
    <w:rsid w:val="00D40A71"/>
    <w:rsid w:val="00D51CDE"/>
    <w:rsid w:val="00D642C9"/>
    <w:rsid w:val="00D7477C"/>
    <w:rsid w:val="00DB4457"/>
    <w:rsid w:val="00DD0F66"/>
    <w:rsid w:val="00DE1A11"/>
    <w:rsid w:val="00E11D12"/>
    <w:rsid w:val="00E17883"/>
    <w:rsid w:val="00E22AE6"/>
    <w:rsid w:val="00E27920"/>
    <w:rsid w:val="00E56163"/>
    <w:rsid w:val="00E853F1"/>
    <w:rsid w:val="00E8597E"/>
    <w:rsid w:val="00E934CF"/>
    <w:rsid w:val="00E96367"/>
    <w:rsid w:val="00EA6CB6"/>
    <w:rsid w:val="00EC4017"/>
    <w:rsid w:val="00EC71E9"/>
    <w:rsid w:val="00EE403A"/>
    <w:rsid w:val="00EF1469"/>
    <w:rsid w:val="00EF428E"/>
    <w:rsid w:val="00F0609F"/>
    <w:rsid w:val="00F22215"/>
    <w:rsid w:val="00F24582"/>
    <w:rsid w:val="00F2714B"/>
    <w:rsid w:val="00F763C1"/>
    <w:rsid w:val="00FB1771"/>
    <w:rsid w:val="00FB750D"/>
    <w:rsid w:val="00FB7889"/>
    <w:rsid w:val="00FD3E7B"/>
    <w:rsid w:val="00FF2F8B"/>
    <w:rsid w:val="00FF5DE6"/>
    <w:rsid w:val="00FF73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0A5"/>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731CDF"/>
    <w:pPr>
      <w:keepNext/>
      <w:keepLines/>
      <w:numPr>
        <w:numId w:val="25"/>
      </w:numPr>
      <w:spacing w:before="480" w:after="240"/>
      <w:ind w:left="567" w:hanging="567"/>
      <w:outlineLvl w:val="0"/>
    </w:pPr>
    <w:rPr>
      <w:rFonts w:ascii="Calibri" w:eastAsiaTheme="majorEastAsia" w:hAnsi="Calibri" w:cs="Calibri"/>
      <w:b/>
      <w:bCs/>
      <w:color w:val="4A442A"/>
      <w:sz w:val="32"/>
      <w:szCs w:val="32"/>
    </w:rPr>
  </w:style>
  <w:style w:type="paragraph" w:styleId="Heading2">
    <w:name w:val="heading 2"/>
    <w:basedOn w:val="Normal"/>
    <w:next w:val="Normal"/>
    <w:link w:val="Heading2Char1"/>
    <w:qFormat/>
    <w:rsid w:val="00E27920"/>
    <w:pPr>
      <w:keepNext/>
      <w:numPr>
        <w:numId w:val="27"/>
      </w:numPr>
      <w:spacing w:before="240" w:after="240"/>
      <w:ind w:left="567" w:hanging="567"/>
      <w:outlineLvl w:val="1"/>
    </w:pPr>
    <w:rPr>
      <w:rFonts w:asciiTheme="majorHAnsi" w:hAnsiTheme="majorHAnsi" w:cs="Arial"/>
      <w:b/>
      <w:bCs/>
      <w:iCs/>
      <w:color w:val="4A442A" w:themeColor="background2" w:themeShade="40"/>
      <w:kern w:val="36"/>
      <w:szCs w:val="28"/>
      <w:lang w:eastAsia="en-AU"/>
    </w:rPr>
  </w:style>
  <w:style w:type="paragraph" w:styleId="Heading3">
    <w:name w:val="heading 3"/>
    <w:basedOn w:val="Normal"/>
    <w:next w:val="Normal"/>
    <w:link w:val="Heading3Char"/>
    <w:uiPriority w:val="9"/>
    <w:unhideWhenUsed/>
    <w:qFormat/>
    <w:rsid w:val="00731CDF"/>
    <w:pPr>
      <w:keepNext/>
      <w:keepLines/>
      <w:spacing w:before="200" w:after="240"/>
      <w:outlineLvl w:val="2"/>
    </w:pPr>
    <w:rPr>
      <w:rFonts w:asciiTheme="majorHAnsi" w:eastAsiaTheme="majorEastAsia" w:hAnsiTheme="majorHAnsi" w:cstheme="majorBidi"/>
      <w:b/>
      <w:bCs/>
      <w:color w:val="4A442A" w:themeColor="background2" w:themeShade="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uiPriority w:val="9"/>
    <w:semiHidden/>
    <w:rsid w:val="008650A5"/>
    <w:rPr>
      <w:rFonts w:ascii="Cambria" w:eastAsia="Times New Roman" w:hAnsi="Cambria" w:cs="Times New Roman"/>
      <w:b/>
      <w:bCs/>
      <w:color w:val="4F81BD"/>
      <w:sz w:val="26"/>
      <w:szCs w:val="26"/>
    </w:rPr>
  </w:style>
  <w:style w:type="character" w:styleId="Hyperlink">
    <w:name w:val="Hyperlink"/>
    <w:uiPriority w:val="99"/>
    <w:rsid w:val="008650A5"/>
    <w:rPr>
      <w:rFonts w:ascii="Times New Roman" w:hAnsi="Times New Roman" w:cs="Times New Roman" w:hint="default"/>
      <w:color w:val="0000FF"/>
      <w:u w:val="single"/>
    </w:rPr>
  </w:style>
  <w:style w:type="paragraph" w:styleId="NormalWeb">
    <w:name w:val="Normal (Web)"/>
    <w:basedOn w:val="Normal"/>
    <w:semiHidden/>
    <w:rsid w:val="008650A5"/>
    <w:pPr>
      <w:spacing w:before="100" w:beforeAutospacing="1" w:after="100" w:afterAutospacing="1"/>
    </w:pPr>
    <w:rPr>
      <w:lang w:eastAsia="en-AU"/>
    </w:rPr>
  </w:style>
  <w:style w:type="paragraph" w:styleId="FootnoteText">
    <w:name w:val="footnote text"/>
    <w:basedOn w:val="Normal"/>
    <w:link w:val="FootnoteTextChar"/>
    <w:semiHidden/>
    <w:rsid w:val="008650A5"/>
    <w:rPr>
      <w:sz w:val="20"/>
      <w:szCs w:val="20"/>
    </w:rPr>
  </w:style>
  <w:style w:type="character" w:customStyle="1" w:styleId="FootnoteTextChar">
    <w:name w:val="Footnote Text Char"/>
    <w:link w:val="FootnoteText"/>
    <w:semiHidden/>
    <w:rsid w:val="008650A5"/>
    <w:rPr>
      <w:rFonts w:ascii="Times New Roman" w:eastAsia="Times New Roman" w:hAnsi="Times New Roman" w:cs="Times New Roman"/>
      <w:sz w:val="20"/>
      <w:szCs w:val="20"/>
    </w:rPr>
  </w:style>
  <w:style w:type="paragraph" w:customStyle="1" w:styleId="Default">
    <w:name w:val="Default"/>
    <w:semiHidden/>
    <w:rsid w:val="008650A5"/>
    <w:pPr>
      <w:autoSpaceDE w:val="0"/>
      <w:autoSpaceDN w:val="0"/>
      <w:adjustRightInd w:val="0"/>
    </w:pPr>
    <w:rPr>
      <w:rFonts w:eastAsia="Times New Roman" w:cs="Calibri"/>
      <w:color w:val="000000"/>
      <w:sz w:val="24"/>
      <w:szCs w:val="24"/>
    </w:rPr>
  </w:style>
  <w:style w:type="paragraph" w:customStyle="1" w:styleId="style5">
    <w:name w:val="style5"/>
    <w:basedOn w:val="Normal"/>
    <w:semiHidden/>
    <w:rsid w:val="008650A5"/>
    <w:pPr>
      <w:spacing w:before="100" w:beforeAutospacing="1" w:after="100" w:afterAutospacing="1"/>
    </w:pPr>
    <w:rPr>
      <w:lang w:eastAsia="en-AU"/>
    </w:rPr>
  </w:style>
  <w:style w:type="paragraph" w:customStyle="1" w:styleId="Body">
    <w:name w:val="Body"/>
    <w:basedOn w:val="Normal"/>
    <w:rsid w:val="00FB1771"/>
    <w:pPr>
      <w:spacing w:after="240"/>
      <w:jc w:val="both"/>
    </w:pPr>
    <w:rPr>
      <w:rFonts w:asciiTheme="minorHAnsi" w:hAnsiTheme="minorHAnsi" w:cs="Arial"/>
      <w:sz w:val="22"/>
      <w:szCs w:val="22"/>
      <w:lang w:eastAsia="en-AU"/>
    </w:rPr>
  </w:style>
  <w:style w:type="paragraph" w:customStyle="1" w:styleId="bulletbody">
    <w:name w:val="bulletbody"/>
    <w:basedOn w:val="Normal"/>
    <w:semiHidden/>
    <w:rsid w:val="008650A5"/>
    <w:pPr>
      <w:numPr>
        <w:numId w:val="1"/>
      </w:numPr>
      <w:tabs>
        <w:tab w:val="clear" w:pos="720"/>
        <w:tab w:val="num" w:pos="709"/>
      </w:tabs>
      <w:spacing w:after="120"/>
      <w:ind w:left="709" w:hanging="284"/>
    </w:pPr>
    <w:rPr>
      <w:rFonts w:ascii="Arial" w:hAnsi="Arial" w:cs="Arial"/>
      <w:sz w:val="20"/>
      <w:szCs w:val="20"/>
      <w:lang w:eastAsia="en-AU"/>
    </w:rPr>
  </w:style>
  <w:style w:type="character" w:styleId="FootnoteReference">
    <w:name w:val="footnote reference"/>
    <w:semiHidden/>
    <w:rsid w:val="008650A5"/>
    <w:rPr>
      <w:vertAlign w:val="superscript"/>
    </w:rPr>
  </w:style>
  <w:style w:type="character" w:customStyle="1" w:styleId="Heading2Char1">
    <w:name w:val="Heading 2 Char1"/>
    <w:link w:val="Heading2"/>
    <w:locked/>
    <w:rsid w:val="00E27920"/>
    <w:rPr>
      <w:rFonts w:asciiTheme="majorHAnsi" w:eastAsia="Times New Roman" w:hAnsiTheme="majorHAnsi" w:cs="Arial"/>
      <w:b/>
      <w:bCs/>
      <w:iCs/>
      <w:color w:val="4A442A" w:themeColor="background2" w:themeShade="40"/>
      <w:kern w:val="36"/>
      <w:sz w:val="24"/>
      <w:szCs w:val="28"/>
    </w:rPr>
  </w:style>
  <w:style w:type="paragraph" w:styleId="Title">
    <w:name w:val="Title"/>
    <w:basedOn w:val="Normal"/>
    <w:next w:val="Normal"/>
    <w:link w:val="TitleChar"/>
    <w:uiPriority w:val="10"/>
    <w:qFormat/>
    <w:rsid w:val="00543317"/>
    <w:pPr>
      <w:pBdr>
        <w:bottom w:val="single" w:sz="8" w:space="4" w:color="4F81BD" w:themeColor="accent1"/>
      </w:pBdr>
      <w:spacing w:after="300"/>
      <w:contextualSpacing/>
    </w:pPr>
    <w:rPr>
      <w:rFonts w:asciiTheme="majorHAnsi" w:eastAsiaTheme="majorEastAsia" w:hAnsiTheme="majorHAnsi" w:cstheme="majorBidi"/>
      <w:color w:val="4A442A" w:themeColor="background2" w:themeShade="40"/>
      <w:spacing w:val="5"/>
      <w:kern w:val="28"/>
      <w:sz w:val="52"/>
      <w:szCs w:val="52"/>
    </w:rPr>
  </w:style>
  <w:style w:type="paragraph" w:styleId="BalloonText">
    <w:name w:val="Balloon Text"/>
    <w:basedOn w:val="Normal"/>
    <w:link w:val="BalloonTextChar"/>
    <w:uiPriority w:val="99"/>
    <w:semiHidden/>
    <w:unhideWhenUsed/>
    <w:rsid w:val="00CD4353"/>
    <w:rPr>
      <w:rFonts w:ascii="Tahoma" w:hAnsi="Tahoma" w:cs="Tahoma"/>
      <w:sz w:val="16"/>
      <w:szCs w:val="16"/>
    </w:rPr>
  </w:style>
  <w:style w:type="character" w:customStyle="1" w:styleId="BalloonTextChar">
    <w:name w:val="Balloon Text Char"/>
    <w:link w:val="BalloonText"/>
    <w:uiPriority w:val="99"/>
    <w:semiHidden/>
    <w:rsid w:val="00CD4353"/>
    <w:rPr>
      <w:rFonts w:ascii="Tahoma" w:eastAsia="Times New Roman" w:hAnsi="Tahoma" w:cs="Tahoma"/>
      <w:sz w:val="16"/>
      <w:szCs w:val="16"/>
      <w:lang w:eastAsia="en-US"/>
    </w:rPr>
  </w:style>
  <w:style w:type="character" w:styleId="CommentReference">
    <w:name w:val="annotation reference"/>
    <w:semiHidden/>
    <w:rsid w:val="008D5618"/>
    <w:rPr>
      <w:sz w:val="18"/>
    </w:rPr>
  </w:style>
  <w:style w:type="paragraph" w:styleId="CommentText">
    <w:name w:val="annotation text"/>
    <w:basedOn w:val="Normal"/>
    <w:semiHidden/>
    <w:rsid w:val="008D5618"/>
  </w:style>
  <w:style w:type="paragraph" w:styleId="CommentSubject">
    <w:name w:val="annotation subject"/>
    <w:basedOn w:val="CommentText"/>
    <w:next w:val="CommentText"/>
    <w:semiHidden/>
    <w:rsid w:val="008D5618"/>
  </w:style>
  <w:style w:type="paragraph" w:styleId="Header">
    <w:name w:val="header"/>
    <w:basedOn w:val="Normal"/>
    <w:link w:val="HeaderChar"/>
    <w:uiPriority w:val="99"/>
    <w:unhideWhenUsed/>
    <w:rsid w:val="00C8219E"/>
    <w:pPr>
      <w:tabs>
        <w:tab w:val="center" w:pos="4513"/>
        <w:tab w:val="right" w:pos="9026"/>
      </w:tabs>
    </w:pPr>
  </w:style>
  <w:style w:type="character" w:customStyle="1" w:styleId="HeaderChar">
    <w:name w:val="Header Char"/>
    <w:link w:val="Header"/>
    <w:uiPriority w:val="99"/>
    <w:rsid w:val="00C8219E"/>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C8219E"/>
    <w:pPr>
      <w:tabs>
        <w:tab w:val="center" w:pos="4513"/>
        <w:tab w:val="right" w:pos="9026"/>
      </w:tabs>
    </w:pPr>
  </w:style>
  <w:style w:type="character" w:customStyle="1" w:styleId="FooterChar">
    <w:name w:val="Footer Char"/>
    <w:link w:val="Footer"/>
    <w:uiPriority w:val="99"/>
    <w:rsid w:val="00C8219E"/>
    <w:rPr>
      <w:rFonts w:ascii="Times New Roman" w:eastAsia="Times New Roman" w:hAnsi="Times New Roman"/>
      <w:sz w:val="24"/>
      <w:szCs w:val="24"/>
      <w:lang w:eastAsia="en-US"/>
    </w:rPr>
  </w:style>
  <w:style w:type="character" w:customStyle="1" w:styleId="FootnoteTextChar1">
    <w:name w:val="Footnote Text Char1"/>
    <w:semiHidden/>
    <w:locked/>
    <w:rsid w:val="00212CD5"/>
    <w:rPr>
      <w:rFonts w:ascii="Times New Roman" w:eastAsia="Times New Roman" w:hAnsi="Times New Roman"/>
      <w:lang w:eastAsia="en-US"/>
    </w:rPr>
  </w:style>
  <w:style w:type="paragraph" w:styleId="ListParagraph">
    <w:name w:val="List Paragraph"/>
    <w:basedOn w:val="Normal"/>
    <w:uiPriority w:val="34"/>
    <w:qFormat/>
    <w:rsid w:val="00E22AE6"/>
    <w:pPr>
      <w:ind w:left="720"/>
      <w:contextualSpacing/>
      <w:jc w:val="both"/>
    </w:pPr>
    <w:rPr>
      <w:rFonts w:eastAsia="Calibri"/>
      <w:lang w:eastAsia="ja-JP"/>
    </w:rPr>
  </w:style>
  <w:style w:type="table" w:styleId="TableGrid">
    <w:name w:val="Table Grid"/>
    <w:basedOn w:val="TableNormal"/>
    <w:uiPriority w:val="59"/>
    <w:rsid w:val="00E934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31CDF"/>
    <w:rPr>
      <w:rFonts w:eastAsiaTheme="majorEastAsia" w:cs="Calibri"/>
      <w:b/>
      <w:bCs/>
      <w:color w:val="4A442A"/>
      <w:sz w:val="32"/>
      <w:szCs w:val="32"/>
      <w:lang w:eastAsia="en-US"/>
    </w:rPr>
  </w:style>
  <w:style w:type="character" w:customStyle="1" w:styleId="Heading3Char">
    <w:name w:val="Heading 3 Char"/>
    <w:basedOn w:val="DefaultParagraphFont"/>
    <w:link w:val="Heading3"/>
    <w:uiPriority w:val="9"/>
    <w:rsid w:val="00731CDF"/>
    <w:rPr>
      <w:rFonts w:asciiTheme="majorHAnsi" w:eastAsiaTheme="majorEastAsia" w:hAnsiTheme="majorHAnsi" w:cstheme="majorBidi"/>
      <w:b/>
      <w:bCs/>
      <w:color w:val="4A442A" w:themeColor="background2" w:themeShade="40"/>
      <w:sz w:val="24"/>
      <w:szCs w:val="24"/>
      <w:lang w:eastAsia="en-US"/>
    </w:rPr>
  </w:style>
  <w:style w:type="character" w:customStyle="1" w:styleId="TitleChar">
    <w:name w:val="Title Char"/>
    <w:basedOn w:val="DefaultParagraphFont"/>
    <w:link w:val="Title"/>
    <w:uiPriority w:val="10"/>
    <w:rsid w:val="00543317"/>
    <w:rPr>
      <w:rFonts w:asciiTheme="majorHAnsi" w:eastAsiaTheme="majorEastAsia" w:hAnsiTheme="majorHAnsi" w:cstheme="majorBidi"/>
      <w:color w:val="4A442A" w:themeColor="background2" w:themeShade="40"/>
      <w:spacing w:val="5"/>
      <w:kern w:val="28"/>
      <w:sz w:val="52"/>
      <w:szCs w:val="52"/>
      <w:lang w:eastAsia="en-US"/>
    </w:rPr>
  </w:style>
  <w:style w:type="paragraph" w:styleId="TOC1">
    <w:name w:val="toc 1"/>
    <w:basedOn w:val="Normal"/>
    <w:next w:val="Normal"/>
    <w:autoRedefine/>
    <w:uiPriority w:val="39"/>
    <w:unhideWhenUsed/>
    <w:rsid w:val="00543317"/>
    <w:pPr>
      <w:tabs>
        <w:tab w:val="left" w:pos="440"/>
        <w:tab w:val="right" w:leader="dot" w:pos="8630"/>
      </w:tabs>
      <w:spacing w:after="100"/>
      <w:ind w:left="426" w:hanging="426"/>
    </w:pPr>
  </w:style>
  <w:style w:type="paragraph" w:styleId="TOC2">
    <w:name w:val="toc 2"/>
    <w:basedOn w:val="Normal"/>
    <w:next w:val="Normal"/>
    <w:autoRedefine/>
    <w:uiPriority w:val="39"/>
    <w:unhideWhenUsed/>
    <w:rsid w:val="00543317"/>
    <w:pPr>
      <w:tabs>
        <w:tab w:val="left" w:pos="880"/>
        <w:tab w:val="right" w:leader="dot" w:pos="8630"/>
      </w:tabs>
      <w:spacing w:after="100"/>
      <w:ind w:left="42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0A5"/>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731CDF"/>
    <w:pPr>
      <w:keepNext/>
      <w:keepLines/>
      <w:numPr>
        <w:numId w:val="25"/>
      </w:numPr>
      <w:spacing w:before="480" w:after="240"/>
      <w:ind w:left="567" w:hanging="567"/>
      <w:outlineLvl w:val="0"/>
    </w:pPr>
    <w:rPr>
      <w:rFonts w:ascii="Calibri" w:eastAsiaTheme="majorEastAsia" w:hAnsi="Calibri" w:cs="Calibri"/>
      <w:b/>
      <w:bCs/>
      <w:color w:val="4A442A"/>
      <w:sz w:val="32"/>
      <w:szCs w:val="32"/>
    </w:rPr>
  </w:style>
  <w:style w:type="paragraph" w:styleId="Heading2">
    <w:name w:val="heading 2"/>
    <w:basedOn w:val="Normal"/>
    <w:next w:val="Normal"/>
    <w:link w:val="Heading2Char1"/>
    <w:qFormat/>
    <w:rsid w:val="00E27920"/>
    <w:pPr>
      <w:keepNext/>
      <w:numPr>
        <w:numId w:val="27"/>
      </w:numPr>
      <w:spacing w:before="240" w:after="240"/>
      <w:ind w:left="567" w:hanging="567"/>
      <w:outlineLvl w:val="1"/>
    </w:pPr>
    <w:rPr>
      <w:rFonts w:asciiTheme="majorHAnsi" w:hAnsiTheme="majorHAnsi" w:cs="Arial"/>
      <w:b/>
      <w:bCs/>
      <w:iCs/>
      <w:color w:val="4A442A" w:themeColor="background2" w:themeShade="40"/>
      <w:kern w:val="36"/>
      <w:szCs w:val="28"/>
      <w:lang w:eastAsia="en-AU"/>
    </w:rPr>
  </w:style>
  <w:style w:type="paragraph" w:styleId="Heading3">
    <w:name w:val="heading 3"/>
    <w:basedOn w:val="Normal"/>
    <w:next w:val="Normal"/>
    <w:link w:val="Heading3Char"/>
    <w:uiPriority w:val="9"/>
    <w:unhideWhenUsed/>
    <w:qFormat/>
    <w:rsid w:val="00731CDF"/>
    <w:pPr>
      <w:keepNext/>
      <w:keepLines/>
      <w:spacing w:before="200" w:after="240"/>
      <w:outlineLvl w:val="2"/>
    </w:pPr>
    <w:rPr>
      <w:rFonts w:asciiTheme="majorHAnsi" w:eastAsiaTheme="majorEastAsia" w:hAnsiTheme="majorHAnsi" w:cstheme="majorBidi"/>
      <w:b/>
      <w:bCs/>
      <w:color w:val="4A442A" w:themeColor="background2" w:themeShade="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uiPriority w:val="9"/>
    <w:semiHidden/>
    <w:rsid w:val="008650A5"/>
    <w:rPr>
      <w:rFonts w:ascii="Cambria" w:eastAsia="Times New Roman" w:hAnsi="Cambria" w:cs="Times New Roman"/>
      <w:b/>
      <w:bCs/>
      <w:color w:val="4F81BD"/>
      <w:sz w:val="26"/>
      <w:szCs w:val="26"/>
    </w:rPr>
  </w:style>
  <w:style w:type="character" w:styleId="Hyperlink">
    <w:name w:val="Hyperlink"/>
    <w:uiPriority w:val="99"/>
    <w:rsid w:val="008650A5"/>
    <w:rPr>
      <w:rFonts w:ascii="Times New Roman" w:hAnsi="Times New Roman" w:cs="Times New Roman" w:hint="default"/>
      <w:color w:val="0000FF"/>
      <w:u w:val="single"/>
    </w:rPr>
  </w:style>
  <w:style w:type="paragraph" w:styleId="NormalWeb">
    <w:name w:val="Normal (Web)"/>
    <w:basedOn w:val="Normal"/>
    <w:semiHidden/>
    <w:rsid w:val="008650A5"/>
    <w:pPr>
      <w:spacing w:before="100" w:beforeAutospacing="1" w:after="100" w:afterAutospacing="1"/>
    </w:pPr>
    <w:rPr>
      <w:lang w:eastAsia="en-AU"/>
    </w:rPr>
  </w:style>
  <w:style w:type="paragraph" w:styleId="FootnoteText">
    <w:name w:val="footnote text"/>
    <w:basedOn w:val="Normal"/>
    <w:link w:val="FootnoteTextChar"/>
    <w:semiHidden/>
    <w:rsid w:val="008650A5"/>
    <w:rPr>
      <w:sz w:val="20"/>
      <w:szCs w:val="20"/>
    </w:rPr>
  </w:style>
  <w:style w:type="character" w:customStyle="1" w:styleId="FootnoteTextChar">
    <w:name w:val="Footnote Text Char"/>
    <w:link w:val="FootnoteText"/>
    <w:semiHidden/>
    <w:rsid w:val="008650A5"/>
    <w:rPr>
      <w:rFonts w:ascii="Times New Roman" w:eastAsia="Times New Roman" w:hAnsi="Times New Roman" w:cs="Times New Roman"/>
      <w:sz w:val="20"/>
      <w:szCs w:val="20"/>
    </w:rPr>
  </w:style>
  <w:style w:type="paragraph" w:customStyle="1" w:styleId="Default">
    <w:name w:val="Default"/>
    <w:semiHidden/>
    <w:rsid w:val="008650A5"/>
    <w:pPr>
      <w:autoSpaceDE w:val="0"/>
      <w:autoSpaceDN w:val="0"/>
      <w:adjustRightInd w:val="0"/>
    </w:pPr>
    <w:rPr>
      <w:rFonts w:eastAsia="Times New Roman" w:cs="Calibri"/>
      <w:color w:val="000000"/>
      <w:sz w:val="24"/>
      <w:szCs w:val="24"/>
    </w:rPr>
  </w:style>
  <w:style w:type="paragraph" w:customStyle="1" w:styleId="style5">
    <w:name w:val="style5"/>
    <w:basedOn w:val="Normal"/>
    <w:semiHidden/>
    <w:rsid w:val="008650A5"/>
    <w:pPr>
      <w:spacing w:before="100" w:beforeAutospacing="1" w:after="100" w:afterAutospacing="1"/>
    </w:pPr>
    <w:rPr>
      <w:lang w:eastAsia="en-AU"/>
    </w:rPr>
  </w:style>
  <w:style w:type="paragraph" w:customStyle="1" w:styleId="Body">
    <w:name w:val="Body"/>
    <w:basedOn w:val="Normal"/>
    <w:rsid w:val="00FB1771"/>
    <w:pPr>
      <w:spacing w:after="240"/>
      <w:jc w:val="both"/>
    </w:pPr>
    <w:rPr>
      <w:rFonts w:asciiTheme="minorHAnsi" w:hAnsiTheme="minorHAnsi" w:cs="Arial"/>
      <w:sz w:val="22"/>
      <w:szCs w:val="22"/>
      <w:lang w:eastAsia="en-AU"/>
    </w:rPr>
  </w:style>
  <w:style w:type="paragraph" w:customStyle="1" w:styleId="bulletbody">
    <w:name w:val="bulletbody"/>
    <w:basedOn w:val="Normal"/>
    <w:semiHidden/>
    <w:rsid w:val="008650A5"/>
    <w:pPr>
      <w:numPr>
        <w:numId w:val="1"/>
      </w:numPr>
      <w:tabs>
        <w:tab w:val="clear" w:pos="720"/>
        <w:tab w:val="num" w:pos="709"/>
      </w:tabs>
      <w:spacing w:after="120"/>
      <w:ind w:left="709" w:hanging="284"/>
    </w:pPr>
    <w:rPr>
      <w:rFonts w:ascii="Arial" w:hAnsi="Arial" w:cs="Arial"/>
      <w:sz w:val="20"/>
      <w:szCs w:val="20"/>
      <w:lang w:eastAsia="en-AU"/>
    </w:rPr>
  </w:style>
  <w:style w:type="character" w:styleId="FootnoteReference">
    <w:name w:val="footnote reference"/>
    <w:semiHidden/>
    <w:rsid w:val="008650A5"/>
    <w:rPr>
      <w:vertAlign w:val="superscript"/>
    </w:rPr>
  </w:style>
  <w:style w:type="character" w:customStyle="1" w:styleId="Heading2Char1">
    <w:name w:val="Heading 2 Char1"/>
    <w:link w:val="Heading2"/>
    <w:locked/>
    <w:rsid w:val="00E27920"/>
    <w:rPr>
      <w:rFonts w:asciiTheme="majorHAnsi" w:eastAsia="Times New Roman" w:hAnsiTheme="majorHAnsi" w:cs="Arial"/>
      <w:b/>
      <w:bCs/>
      <w:iCs/>
      <w:color w:val="4A442A" w:themeColor="background2" w:themeShade="40"/>
      <w:kern w:val="36"/>
      <w:sz w:val="24"/>
      <w:szCs w:val="28"/>
    </w:rPr>
  </w:style>
  <w:style w:type="paragraph" w:styleId="Title">
    <w:name w:val="Title"/>
    <w:basedOn w:val="Normal"/>
    <w:next w:val="Normal"/>
    <w:link w:val="TitleChar"/>
    <w:uiPriority w:val="10"/>
    <w:qFormat/>
    <w:rsid w:val="00543317"/>
    <w:pPr>
      <w:pBdr>
        <w:bottom w:val="single" w:sz="8" w:space="4" w:color="4F81BD" w:themeColor="accent1"/>
      </w:pBdr>
      <w:spacing w:after="300"/>
      <w:contextualSpacing/>
    </w:pPr>
    <w:rPr>
      <w:rFonts w:asciiTheme="majorHAnsi" w:eastAsiaTheme="majorEastAsia" w:hAnsiTheme="majorHAnsi" w:cstheme="majorBidi"/>
      <w:color w:val="4A442A" w:themeColor="background2" w:themeShade="40"/>
      <w:spacing w:val="5"/>
      <w:kern w:val="28"/>
      <w:sz w:val="52"/>
      <w:szCs w:val="52"/>
    </w:rPr>
  </w:style>
  <w:style w:type="paragraph" w:styleId="BalloonText">
    <w:name w:val="Balloon Text"/>
    <w:basedOn w:val="Normal"/>
    <w:link w:val="BalloonTextChar"/>
    <w:uiPriority w:val="99"/>
    <w:semiHidden/>
    <w:unhideWhenUsed/>
    <w:rsid w:val="00CD4353"/>
    <w:rPr>
      <w:rFonts w:ascii="Tahoma" w:hAnsi="Tahoma" w:cs="Tahoma"/>
      <w:sz w:val="16"/>
      <w:szCs w:val="16"/>
    </w:rPr>
  </w:style>
  <w:style w:type="character" w:customStyle="1" w:styleId="BalloonTextChar">
    <w:name w:val="Balloon Text Char"/>
    <w:link w:val="BalloonText"/>
    <w:uiPriority w:val="99"/>
    <w:semiHidden/>
    <w:rsid w:val="00CD4353"/>
    <w:rPr>
      <w:rFonts w:ascii="Tahoma" w:eastAsia="Times New Roman" w:hAnsi="Tahoma" w:cs="Tahoma"/>
      <w:sz w:val="16"/>
      <w:szCs w:val="16"/>
      <w:lang w:eastAsia="en-US"/>
    </w:rPr>
  </w:style>
  <w:style w:type="character" w:styleId="CommentReference">
    <w:name w:val="annotation reference"/>
    <w:semiHidden/>
    <w:rsid w:val="008D5618"/>
    <w:rPr>
      <w:sz w:val="18"/>
    </w:rPr>
  </w:style>
  <w:style w:type="paragraph" w:styleId="CommentText">
    <w:name w:val="annotation text"/>
    <w:basedOn w:val="Normal"/>
    <w:semiHidden/>
    <w:rsid w:val="008D5618"/>
  </w:style>
  <w:style w:type="paragraph" w:styleId="CommentSubject">
    <w:name w:val="annotation subject"/>
    <w:basedOn w:val="CommentText"/>
    <w:next w:val="CommentText"/>
    <w:semiHidden/>
    <w:rsid w:val="008D5618"/>
  </w:style>
  <w:style w:type="paragraph" w:styleId="Header">
    <w:name w:val="header"/>
    <w:basedOn w:val="Normal"/>
    <w:link w:val="HeaderChar"/>
    <w:uiPriority w:val="99"/>
    <w:unhideWhenUsed/>
    <w:rsid w:val="00C8219E"/>
    <w:pPr>
      <w:tabs>
        <w:tab w:val="center" w:pos="4513"/>
        <w:tab w:val="right" w:pos="9026"/>
      </w:tabs>
    </w:pPr>
  </w:style>
  <w:style w:type="character" w:customStyle="1" w:styleId="HeaderChar">
    <w:name w:val="Header Char"/>
    <w:link w:val="Header"/>
    <w:uiPriority w:val="99"/>
    <w:rsid w:val="00C8219E"/>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C8219E"/>
    <w:pPr>
      <w:tabs>
        <w:tab w:val="center" w:pos="4513"/>
        <w:tab w:val="right" w:pos="9026"/>
      </w:tabs>
    </w:pPr>
  </w:style>
  <w:style w:type="character" w:customStyle="1" w:styleId="FooterChar">
    <w:name w:val="Footer Char"/>
    <w:link w:val="Footer"/>
    <w:uiPriority w:val="99"/>
    <w:rsid w:val="00C8219E"/>
    <w:rPr>
      <w:rFonts w:ascii="Times New Roman" w:eastAsia="Times New Roman" w:hAnsi="Times New Roman"/>
      <w:sz w:val="24"/>
      <w:szCs w:val="24"/>
      <w:lang w:eastAsia="en-US"/>
    </w:rPr>
  </w:style>
  <w:style w:type="character" w:customStyle="1" w:styleId="FootnoteTextChar1">
    <w:name w:val="Footnote Text Char1"/>
    <w:semiHidden/>
    <w:locked/>
    <w:rsid w:val="00212CD5"/>
    <w:rPr>
      <w:rFonts w:ascii="Times New Roman" w:eastAsia="Times New Roman" w:hAnsi="Times New Roman"/>
      <w:lang w:eastAsia="en-US"/>
    </w:rPr>
  </w:style>
  <w:style w:type="paragraph" w:styleId="ListParagraph">
    <w:name w:val="List Paragraph"/>
    <w:basedOn w:val="Normal"/>
    <w:uiPriority w:val="34"/>
    <w:qFormat/>
    <w:rsid w:val="00E22AE6"/>
    <w:pPr>
      <w:ind w:left="720"/>
      <w:contextualSpacing/>
      <w:jc w:val="both"/>
    </w:pPr>
    <w:rPr>
      <w:rFonts w:eastAsia="Calibri"/>
      <w:lang w:eastAsia="ja-JP"/>
    </w:rPr>
  </w:style>
  <w:style w:type="table" w:styleId="TableGrid">
    <w:name w:val="Table Grid"/>
    <w:basedOn w:val="TableNormal"/>
    <w:uiPriority w:val="59"/>
    <w:rsid w:val="00E934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31CDF"/>
    <w:rPr>
      <w:rFonts w:eastAsiaTheme="majorEastAsia" w:cs="Calibri"/>
      <w:b/>
      <w:bCs/>
      <w:color w:val="4A442A"/>
      <w:sz w:val="32"/>
      <w:szCs w:val="32"/>
      <w:lang w:eastAsia="en-US"/>
    </w:rPr>
  </w:style>
  <w:style w:type="character" w:customStyle="1" w:styleId="Heading3Char">
    <w:name w:val="Heading 3 Char"/>
    <w:basedOn w:val="DefaultParagraphFont"/>
    <w:link w:val="Heading3"/>
    <w:uiPriority w:val="9"/>
    <w:rsid w:val="00731CDF"/>
    <w:rPr>
      <w:rFonts w:asciiTheme="majorHAnsi" w:eastAsiaTheme="majorEastAsia" w:hAnsiTheme="majorHAnsi" w:cstheme="majorBidi"/>
      <w:b/>
      <w:bCs/>
      <w:color w:val="4A442A" w:themeColor="background2" w:themeShade="40"/>
      <w:sz w:val="24"/>
      <w:szCs w:val="24"/>
      <w:lang w:eastAsia="en-US"/>
    </w:rPr>
  </w:style>
  <w:style w:type="character" w:customStyle="1" w:styleId="TitleChar">
    <w:name w:val="Title Char"/>
    <w:basedOn w:val="DefaultParagraphFont"/>
    <w:link w:val="Title"/>
    <w:uiPriority w:val="10"/>
    <w:rsid w:val="00543317"/>
    <w:rPr>
      <w:rFonts w:asciiTheme="majorHAnsi" w:eastAsiaTheme="majorEastAsia" w:hAnsiTheme="majorHAnsi" w:cstheme="majorBidi"/>
      <w:color w:val="4A442A" w:themeColor="background2" w:themeShade="40"/>
      <w:spacing w:val="5"/>
      <w:kern w:val="28"/>
      <w:sz w:val="52"/>
      <w:szCs w:val="52"/>
      <w:lang w:eastAsia="en-US"/>
    </w:rPr>
  </w:style>
  <w:style w:type="paragraph" w:styleId="TOC1">
    <w:name w:val="toc 1"/>
    <w:basedOn w:val="Normal"/>
    <w:next w:val="Normal"/>
    <w:autoRedefine/>
    <w:uiPriority w:val="39"/>
    <w:unhideWhenUsed/>
    <w:rsid w:val="00543317"/>
    <w:pPr>
      <w:tabs>
        <w:tab w:val="left" w:pos="440"/>
        <w:tab w:val="right" w:leader="dot" w:pos="8630"/>
      </w:tabs>
      <w:spacing w:after="100"/>
      <w:ind w:left="426" w:hanging="426"/>
    </w:pPr>
  </w:style>
  <w:style w:type="paragraph" w:styleId="TOC2">
    <w:name w:val="toc 2"/>
    <w:basedOn w:val="Normal"/>
    <w:next w:val="Normal"/>
    <w:autoRedefine/>
    <w:uiPriority w:val="39"/>
    <w:unhideWhenUsed/>
    <w:rsid w:val="00543317"/>
    <w:pPr>
      <w:tabs>
        <w:tab w:val="left" w:pos="880"/>
        <w:tab w:val="right" w:leader="dot" w:pos="8630"/>
      </w:tabs>
      <w:spacing w:after="100"/>
      <w:ind w:left="4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876842">
      <w:bodyDiv w:val="1"/>
      <w:marLeft w:val="0"/>
      <w:marRight w:val="0"/>
      <w:marTop w:val="0"/>
      <w:marBottom w:val="0"/>
      <w:divBdr>
        <w:top w:val="none" w:sz="0" w:space="0" w:color="auto"/>
        <w:left w:val="none" w:sz="0" w:space="0" w:color="auto"/>
        <w:bottom w:val="none" w:sz="0" w:space="0" w:color="auto"/>
        <w:right w:val="none" w:sz="0" w:space="0" w:color="auto"/>
      </w:divBdr>
    </w:div>
    <w:div w:id="1876655979">
      <w:bodyDiv w:val="1"/>
      <w:marLeft w:val="0"/>
      <w:marRight w:val="0"/>
      <w:marTop w:val="0"/>
      <w:marBottom w:val="0"/>
      <w:divBdr>
        <w:top w:val="none" w:sz="0" w:space="0" w:color="auto"/>
        <w:left w:val="none" w:sz="0" w:space="0" w:color="auto"/>
        <w:bottom w:val="none" w:sz="0" w:space="0" w:color="auto"/>
        <w:right w:val="none" w:sz="0" w:space="0" w:color="auto"/>
      </w:divBdr>
    </w:div>
    <w:div w:id="201445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elfarerights.org.au"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sr.org.au"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D6EFB602F065B4BA18DCDCBB10CF25B" ma:contentTypeVersion="4" ma:contentTypeDescription="Create a new document." ma:contentTypeScope="" ma:versionID="9d63cfcc2f62dd188fac7c451e338965">
  <xsd:schema xmlns:xsd="http://www.w3.org/2001/XMLSchema" xmlns:p="http://schemas.microsoft.com/office/2006/metadata/properties" xmlns:ns1="542403c0-32e4-43ba-94eb-e2c9fe6df98f" xmlns:ns2="6a74a094-28bd-4bbd-9811-32155b56d6f2" targetNamespace="http://schemas.microsoft.com/office/2006/metadata/properties" ma:root="true" ma:fieldsID="bf6145254febd00e7375ba2b42205a77" ns1:_="" ns2:_="">
    <xsd:import namespace="542403c0-32e4-43ba-94eb-e2c9fe6df98f"/>
    <xsd:import namespace="6a74a094-28bd-4bbd-9811-32155b56d6f2"/>
    <xsd:element name="properties">
      <xsd:complexType>
        <xsd:sequence>
          <xsd:element name="documentManagement">
            <xsd:complexType>
              <xsd:all>
                <xsd:element ref="ns1:Publish_x0020_date" minOccurs="0"/>
                <xsd:element ref="ns2:titlelink" minOccurs="0"/>
              </xsd:all>
            </xsd:complexType>
          </xsd:element>
        </xsd:sequence>
      </xsd:complexType>
    </xsd:element>
  </xsd:schema>
  <xsd:schema xmlns:xsd="http://www.w3.org/2001/XMLSchema" xmlns:dms="http://schemas.microsoft.com/office/2006/documentManagement/types" targetNamespace="542403c0-32e4-43ba-94eb-e2c9fe6df98f" elementFormDefault="qualified">
    <xsd:import namespace="http://schemas.microsoft.com/office/2006/documentManagement/types"/>
    <xsd:element name="Publish_x0020_date" ma:index="0" nillable="true" ma:displayName="Publish date" ma:default="[today]" ma:format="DateOnly" ma:internalName="Publish_x0020_date">
      <xsd:simpleType>
        <xsd:restriction base="dms:DateTime"/>
      </xsd:simpleType>
    </xsd:element>
  </xsd:schema>
  <xsd:schema xmlns:xsd="http://www.w3.org/2001/XMLSchema" xmlns:dms="http://schemas.microsoft.com/office/2006/documentManagement/types" targetNamespace="6a74a094-28bd-4bbd-9811-32155b56d6f2" elementFormDefault="qualified">
    <xsd:import namespace="http://schemas.microsoft.com/office/2006/documentManagement/types"/>
    <xsd:element name="titlelink" ma:index="1" nillable="true" ma:displayName="titlelink" ma:default="" ma:format="Hyperlink" ma:internalName="titl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itlelink xmlns="6a74a094-28bd-4bbd-9811-32155b56d6f2">
      <Url xsi:nil="true"/>
      <Description xsi:nil="true"/>
    </titlelink>
    <Publish_x0020_date xmlns="542403c0-32e4-43ba-94eb-e2c9fe6df98f">2012-02-15T03:31:55+00:00</Publish_x0020_date>
  </documentManagement>
</p:properties>
</file>

<file path=customXml/itemProps1.xml><?xml version="1.0" encoding="utf-8"?>
<ds:datastoreItem xmlns:ds="http://schemas.openxmlformats.org/officeDocument/2006/customXml" ds:itemID="{B5720C08-4129-49EE-AE54-37545F969A50}"/>
</file>

<file path=customXml/itemProps2.xml><?xml version="1.0" encoding="utf-8"?>
<ds:datastoreItem xmlns:ds="http://schemas.openxmlformats.org/officeDocument/2006/customXml" ds:itemID="{9D3FB964-BF2A-4751-86C7-9755DA2B14AD}"/>
</file>

<file path=customXml/itemProps3.xml><?xml version="1.0" encoding="utf-8"?>
<ds:datastoreItem xmlns:ds="http://schemas.openxmlformats.org/officeDocument/2006/customXml" ds:itemID="{8688268F-0E8C-428E-A498-CB6196839576}"/>
</file>

<file path=customXml/itemProps4.xml><?xml version="1.0" encoding="utf-8"?>
<ds:datastoreItem xmlns:ds="http://schemas.openxmlformats.org/officeDocument/2006/customXml" ds:itemID="{435769C5-19E1-4292-B7D6-77AFB72EEC5E}"/>
</file>

<file path=docProps/app.xml><?xml version="1.0" encoding="utf-8"?>
<Properties xmlns="http://schemas.openxmlformats.org/officeDocument/2006/extended-properties" xmlns:vt="http://schemas.openxmlformats.org/officeDocument/2006/docPropsVTypes">
  <Template>Normal</Template>
  <TotalTime>5</TotalTime>
  <Pages>22</Pages>
  <Words>7758</Words>
  <Characters>44222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51877</CharactersWithSpaces>
  <SharedDoc>false</SharedDoc>
  <HLinks>
    <vt:vector size="12" baseType="variant">
      <vt:variant>
        <vt:i4>71</vt:i4>
      </vt:variant>
      <vt:variant>
        <vt:i4>6</vt:i4>
      </vt:variant>
      <vt:variant>
        <vt:i4>0</vt:i4>
      </vt:variant>
      <vt:variant>
        <vt:i4>5</vt:i4>
      </vt:variant>
      <vt:variant>
        <vt:lpwstr>http://www.welfarerights.org.au/</vt:lpwstr>
      </vt:variant>
      <vt:variant>
        <vt:lpwstr/>
      </vt:variant>
      <vt:variant>
        <vt:i4>7077924</vt:i4>
      </vt:variant>
      <vt:variant>
        <vt:i4>3</vt:i4>
      </vt:variant>
      <vt:variant>
        <vt:i4>0</vt:i4>
      </vt:variant>
      <vt:variant>
        <vt:i4>5</vt:i4>
      </vt:variant>
      <vt:variant>
        <vt:lpwstr>http://www.ssr.org.au/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better Centrelink services for Australians </dc:title>
  <dc:creator>Gerard Thomas</dc:creator>
  <cp:lastModifiedBy>Catalina Loyola</cp:lastModifiedBy>
  <cp:revision>4</cp:revision>
  <cp:lastPrinted>2012-02-02T04:29:00Z</cp:lastPrinted>
  <dcterms:created xsi:type="dcterms:W3CDTF">2012-02-15T03:09:00Z</dcterms:created>
  <dcterms:modified xsi:type="dcterms:W3CDTF">2012-02-15T03:17:00Z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0x0101001D6EFB602F065B4BA18DCDCBB10CF25B</vt:lpwstr>
  </property>
</Properties>
</file>