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20281199"/>
        <w:docPartObj>
          <w:docPartGallery w:val="Cover Pages"/>
          <w:docPartUnique/>
        </w:docPartObj>
      </w:sdtPr>
      <w:sdtEndPr/>
      <w:sdtContent>
        <w:p w14:paraId="3F5CDD15" w14:textId="77777777" w:rsidR="003C24F8" w:rsidRDefault="003C24F8" w:rsidP="003C24F8">
          <w:pPr>
            <w:jc w:val="both"/>
          </w:pPr>
        </w:p>
        <w:p w14:paraId="689A3C2D" w14:textId="77777777" w:rsidR="007624FB" w:rsidRDefault="007624FB" w:rsidP="00DC2ECF">
          <w:pPr>
            <w:jc w:val="center"/>
            <w:rPr>
              <w:b/>
              <w:i/>
              <w:color w:val="1F3A21"/>
              <w:sz w:val="72"/>
              <w:szCs w:val="72"/>
            </w:rPr>
          </w:pPr>
        </w:p>
        <w:p w14:paraId="00038A7B" w14:textId="77777777" w:rsidR="00C02490" w:rsidRDefault="00C02490" w:rsidP="00DC2ECF">
          <w:pPr>
            <w:jc w:val="center"/>
            <w:rPr>
              <w:b/>
              <w:i/>
              <w:color w:val="1F3A21"/>
              <w:sz w:val="72"/>
              <w:szCs w:val="72"/>
            </w:rPr>
          </w:pPr>
        </w:p>
        <w:p w14:paraId="22E43507" w14:textId="77777777" w:rsidR="00DC2ECF" w:rsidRDefault="00DC2ECF" w:rsidP="00DC2ECF">
          <w:pPr>
            <w:jc w:val="center"/>
            <w:rPr>
              <w:b/>
              <w:i/>
              <w:color w:val="1F3A21"/>
              <w:sz w:val="72"/>
              <w:szCs w:val="72"/>
            </w:rPr>
          </w:pPr>
        </w:p>
        <w:p w14:paraId="27D304B2" w14:textId="77777777" w:rsidR="003C24F8" w:rsidRPr="007624FB" w:rsidRDefault="003C24F8" w:rsidP="00DC2ECF">
          <w:pPr>
            <w:jc w:val="center"/>
            <w:rPr>
              <w:b/>
              <w:i/>
              <w:color w:val="324372"/>
              <w:sz w:val="72"/>
              <w:szCs w:val="72"/>
            </w:rPr>
          </w:pPr>
          <w:r w:rsidRPr="007624FB">
            <w:rPr>
              <w:b/>
              <w:i/>
              <w:color w:val="324372"/>
              <w:sz w:val="72"/>
              <w:szCs w:val="72"/>
            </w:rPr>
            <w:t xml:space="preserve">Cashless Debit Card (CDC) </w:t>
          </w:r>
          <w:r w:rsidR="00DC2ECF" w:rsidRPr="007624FB">
            <w:rPr>
              <w:b/>
              <w:i/>
              <w:color w:val="324372"/>
              <w:sz w:val="72"/>
              <w:szCs w:val="72"/>
            </w:rPr>
            <w:t>Extended R</w:t>
          </w:r>
          <w:r w:rsidRPr="007624FB">
            <w:rPr>
              <w:b/>
              <w:i/>
              <w:color w:val="324372"/>
              <w:sz w:val="72"/>
              <w:szCs w:val="72"/>
            </w:rPr>
            <w:t>ollout 2021</w:t>
          </w:r>
        </w:p>
        <w:p w14:paraId="6567D5F9" w14:textId="77777777" w:rsidR="003C24F8" w:rsidRPr="007624FB" w:rsidRDefault="003C24F8" w:rsidP="00DC2ECF">
          <w:pPr>
            <w:jc w:val="center"/>
            <w:rPr>
              <w:b/>
              <w:i/>
              <w:color w:val="324372"/>
              <w:sz w:val="72"/>
              <w:szCs w:val="72"/>
            </w:rPr>
          </w:pPr>
        </w:p>
        <w:p w14:paraId="5B88A795" w14:textId="552629A4" w:rsidR="007624FB" w:rsidRDefault="003C24F8" w:rsidP="007624FB">
          <w:pPr>
            <w:jc w:val="center"/>
            <w:rPr>
              <w:b/>
              <w:i/>
              <w:color w:val="324372"/>
              <w:sz w:val="72"/>
              <w:szCs w:val="72"/>
            </w:rPr>
          </w:pPr>
          <w:r w:rsidRPr="007624FB">
            <w:rPr>
              <w:b/>
              <w:i/>
              <w:color w:val="324372"/>
              <w:sz w:val="72"/>
              <w:szCs w:val="72"/>
            </w:rPr>
            <w:t>Briefing Paper</w:t>
          </w:r>
        </w:p>
        <w:p w14:paraId="50DDECD9" w14:textId="77777777" w:rsidR="00B52983" w:rsidRDefault="00B52983" w:rsidP="00B52983">
          <w:pPr>
            <w:rPr>
              <w:b/>
              <w:i/>
              <w:color w:val="324372"/>
              <w:sz w:val="32"/>
              <w:szCs w:val="32"/>
            </w:rPr>
          </w:pPr>
        </w:p>
        <w:p w14:paraId="74BD079A" w14:textId="77777777" w:rsidR="00B52983" w:rsidRDefault="00B52983" w:rsidP="00B52983">
          <w:pPr>
            <w:rPr>
              <w:b/>
              <w:i/>
              <w:color w:val="324372"/>
              <w:sz w:val="32"/>
              <w:szCs w:val="32"/>
            </w:rPr>
          </w:pPr>
        </w:p>
        <w:p w14:paraId="0EE57DF1" w14:textId="4BF79933" w:rsidR="002D5B9E" w:rsidRPr="00B52983" w:rsidRDefault="002D5B9E" w:rsidP="00B52983">
          <w:pPr>
            <w:jc w:val="center"/>
            <w:rPr>
              <w:b/>
              <w:i/>
              <w:color w:val="324372"/>
              <w:sz w:val="32"/>
              <w:szCs w:val="32"/>
            </w:rPr>
          </w:pPr>
          <w:r w:rsidRPr="00B52983">
            <w:rPr>
              <w:b/>
              <w:i/>
              <w:color w:val="324372"/>
              <w:sz w:val="32"/>
              <w:szCs w:val="32"/>
            </w:rPr>
            <w:t>March 2021</w:t>
          </w:r>
        </w:p>
        <w:p w14:paraId="2491D380" w14:textId="77777777" w:rsidR="007624FB" w:rsidRPr="007624FB" w:rsidRDefault="007624FB" w:rsidP="007624FB">
          <w:pPr>
            <w:jc w:val="center"/>
            <w:rPr>
              <w:b/>
              <w:i/>
              <w:color w:val="324372"/>
              <w:sz w:val="28"/>
              <w:szCs w:val="72"/>
            </w:rPr>
          </w:pPr>
        </w:p>
        <w:p w14:paraId="096B9D36" w14:textId="77777777" w:rsidR="007624FB" w:rsidRPr="00DC2ECF" w:rsidRDefault="007624FB" w:rsidP="00DC2ECF">
          <w:pPr>
            <w:jc w:val="center"/>
            <w:rPr>
              <w:b/>
              <w:i/>
              <w:color w:val="1F3A21"/>
              <w:sz w:val="72"/>
              <w:szCs w:val="72"/>
            </w:rPr>
          </w:pPr>
        </w:p>
        <w:p w14:paraId="007ACD94" w14:textId="77777777" w:rsidR="003C24F8" w:rsidRDefault="003C24F8" w:rsidP="00DC2ECF">
          <w:pPr>
            <w:spacing w:after="160" w:line="259" w:lineRule="auto"/>
            <w:jc w:val="center"/>
          </w:pPr>
          <w:r w:rsidRPr="00DC2ECF">
            <w:rPr>
              <w:b/>
              <w:i/>
              <w:color w:val="1F3A21"/>
              <w:sz w:val="72"/>
              <w:szCs w:val="72"/>
            </w:rPr>
            <w:br w:type="page"/>
          </w:r>
        </w:p>
      </w:sdtContent>
    </w:sdt>
    <w:sdt>
      <w:sdtPr>
        <w:rPr>
          <w:rFonts w:ascii="Barlow" w:eastAsia="MS Mincho" w:hAnsi="Barlow" w:cstheme="minorHAnsi"/>
          <w:b w:val="0"/>
          <w:i/>
          <w:color w:val="1F3A21"/>
          <w:sz w:val="52"/>
          <w:szCs w:val="22"/>
          <w:lang w:val="en-AU" w:eastAsia="en-AU"/>
        </w:rPr>
        <w:id w:val="-402366425"/>
        <w:docPartObj>
          <w:docPartGallery w:val="Table of Contents"/>
          <w:docPartUnique/>
        </w:docPartObj>
      </w:sdtPr>
      <w:sdtEndPr>
        <w:rPr>
          <w:i w:val="0"/>
          <w:noProof/>
          <w:color w:val="auto"/>
          <w:sz w:val="24"/>
        </w:rPr>
      </w:sdtEndPr>
      <w:sdtContent>
        <w:p w14:paraId="022D59A5" w14:textId="77777777" w:rsidR="00E51225" w:rsidRPr="00E51225" w:rsidRDefault="00E51225" w:rsidP="00173922">
          <w:pPr>
            <w:pStyle w:val="TOCHeading"/>
            <w:tabs>
              <w:tab w:val="left" w:pos="3468"/>
            </w:tabs>
            <w:rPr>
              <w:rFonts w:ascii="Barlow" w:hAnsi="Barlow"/>
              <w:i/>
              <w:color w:val="1F3A21"/>
              <w:sz w:val="56"/>
            </w:rPr>
          </w:pPr>
          <w:r w:rsidRPr="00E51225">
            <w:rPr>
              <w:rFonts w:ascii="Barlow" w:hAnsi="Barlow"/>
              <w:i/>
              <w:color w:val="1F3A21"/>
              <w:sz w:val="56"/>
            </w:rPr>
            <w:t>Contents</w:t>
          </w:r>
          <w:r w:rsidR="00173922">
            <w:rPr>
              <w:rFonts w:ascii="Barlow" w:hAnsi="Barlow"/>
              <w:i/>
              <w:color w:val="1F3A21"/>
              <w:sz w:val="56"/>
            </w:rPr>
            <w:tab/>
          </w:r>
        </w:p>
        <w:p w14:paraId="20D4CF3C" w14:textId="35DDCD2B" w:rsidR="00C02490" w:rsidRDefault="00542F88">
          <w:pPr>
            <w:pStyle w:val="TOC1"/>
            <w:tabs>
              <w:tab w:val="right" w:leader="dot" w:pos="9628"/>
            </w:tabs>
            <w:rPr>
              <w:rFonts w:asciiTheme="minorHAnsi" w:eastAsiaTheme="minorEastAsia" w:hAnsiTheme="minorHAnsi"/>
              <w:b w:val="0"/>
              <w:bCs w:val="0"/>
              <w:i w:val="0"/>
              <w:iCs w:val="0"/>
              <w:noProof/>
              <w:sz w:val="22"/>
              <w:szCs w:val="22"/>
              <w:lang w:val="en-AU" w:eastAsia="en-AU"/>
            </w:rPr>
          </w:pPr>
          <w:r>
            <w:fldChar w:fldCharType="begin"/>
          </w:r>
          <w:r>
            <w:instrText xml:space="preserve"> TOC \o "1-8" \h \z \u </w:instrText>
          </w:r>
          <w:r>
            <w:fldChar w:fldCharType="separate"/>
          </w:r>
          <w:hyperlink w:anchor="_Toc67933673" w:history="1">
            <w:r w:rsidR="00C02490" w:rsidRPr="00F01773">
              <w:rPr>
                <w:rStyle w:val="Hyperlink"/>
                <w:noProof/>
              </w:rPr>
              <w:t>Background to the CDC and Income Management programs</w:t>
            </w:r>
            <w:r w:rsidR="00C02490">
              <w:rPr>
                <w:noProof/>
                <w:webHidden/>
              </w:rPr>
              <w:tab/>
            </w:r>
            <w:r w:rsidR="00C02490">
              <w:rPr>
                <w:noProof/>
                <w:webHidden/>
              </w:rPr>
              <w:fldChar w:fldCharType="begin"/>
            </w:r>
            <w:r w:rsidR="00C02490">
              <w:rPr>
                <w:noProof/>
                <w:webHidden/>
              </w:rPr>
              <w:instrText xml:space="preserve"> PAGEREF _Toc67933673 \h </w:instrText>
            </w:r>
            <w:r w:rsidR="00C02490">
              <w:rPr>
                <w:noProof/>
                <w:webHidden/>
              </w:rPr>
            </w:r>
            <w:r w:rsidR="00C02490">
              <w:rPr>
                <w:noProof/>
                <w:webHidden/>
              </w:rPr>
              <w:fldChar w:fldCharType="separate"/>
            </w:r>
            <w:r w:rsidR="00C741DC">
              <w:rPr>
                <w:noProof/>
                <w:webHidden/>
              </w:rPr>
              <w:t>3</w:t>
            </w:r>
            <w:r w:rsidR="00C02490">
              <w:rPr>
                <w:noProof/>
                <w:webHidden/>
              </w:rPr>
              <w:fldChar w:fldCharType="end"/>
            </w:r>
          </w:hyperlink>
        </w:p>
        <w:p w14:paraId="1F1EE9EE" w14:textId="7F0E3C6B"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674" w:history="1">
            <w:r w:rsidR="00C02490" w:rsidRPr="00F01773">
              <w:rPr>
                <w:rStyle w:val="Hyperlink"/>
                <w:noProof/>
              </w:rPr>
              <w:t>Income Management program numbers</w:t>
            </w:r>
            <w:r w:rsidR="00C02490">
              <w:rPr>
                <w:noProof/>
                <w:webHidden/>
              </w:rPr>
              <w:tab/>
            </w:r>
            <w:r w:rsidR="00C02490">
              <w:rPr>
                <w:noProof/>
                <w:webHidden/>
              </w:rPr>
              <w:fldChar w:fldCharType="begin"/>
            </w:r>
            <w:r w:rsidR="00C02490">
              <w:rPr>
                <w:noProof/>
                <w:webHidden/>
              </w:rPr>
              <w:instrText xml:space="preserve"> PAGEREF _Toc67933674 \h </w:instrText>
            </w:r>
            <w:r w:rsidR="00C02490">
              <w:rPr>
                <w:noProof/>
                <w:webHidden/>
              </w:rPr>
            </w:r>
            <w:r w:rsidR="00C02490">
              <w:rPr>
                <w:noProof/>
                <w:webHidden/>
              </w:rPr>
              <w:fldChar w:fldCharType="separate"/>
            </w:r>
            <w:r w:rsidR="00C741DC">
              <w:rPr>
                <w:noProof/>
                <w:webHidden/>
              </w:rPr>
              <w:t>3</w:t>
            </w:r>
            <w:r w:rsidR="00C02490">
              <w:rPr>
                <w:noProof/>
                <w:webHidden/>
              </w:rPr>
              <w:fldChar w:fldCharType="end"/>
            </w:r>
          </w:hyperlink>
        </w:p>
        <w:p w14:paraId="00011257" w14:textId="4E341729"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675" w:history="1">
            <w:r w:rsidR="00C02490" w:rsidRPr="00F01773">
              <w:rPr>
                <w:rStyle w:val="Hyperlink"/>
                <w:noProof/>
              </w:rPr>
              <w:t>CDC program numbers</w:t>
            </w:r>
            <w:r w:rsidR="00C02490">
              <w:rPr>
                <w:noProof/>
                <w:webHidden/>
              </w:rPr>
              <w:tab/>
            </w:r>
            <w:r w:rsidR="00C02490">
              <w:rPr>
                <w:noProof/>
                <w:webHidden/>
              </w:rPr>
              <w:fldChar w:fldCharType="begin"/>
            </w:r>
            <w:r w:rsidR="00C02490">
              <w:rPr>
                <w:noProof/>
                <w:webHidden/>
              </w:rPr>
              <w:instrText xml:space="preserve"> PAGEREF _Toc67933675 \h </w:instrText>
            </w:r>
            <w:r w:rsidR="00C02490">
              <w:rPr>
                <w:noProof/>
                <w:webHidden/>
              </w:rPr>
            </w:r>
            <w:r w:rsidR="00C02490">
              <w:rPr>
                <w:noProof/>
                <w:webHidden/>
              </w:rPr>
              <w:fldChar w:fldCharType="separate"/>
            </w:r>
            <w:r w:rsidR="00C741DC">
              <w:rPr>
                <w:noProof/>
                <w:webHidden/>
              </w:rPr>
              <w:t>4</w:t>
            </w:r>
            <w:r w:rsidR="00C02490">
              <w:rPr>
                <w:noProof/>
                <w:webHidden/>
              </w:rPr>
              <w:fldChar w:fldCharType="end"/>
            </w:r>
          </w:hyperlink>
        </w:p>
        <w:p w14:paraId="44293848" w14:textId="4933E0FE"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676" w:history="1">
            <w:r w:rsidR="00C02490" w:rsidRPr="00F01773">
              <w:rPr>
                <w:rStyle w:val="Hyperlink"/>
                <w:noProof/>
              </w:rPr>
              <w:t>How income management and cashless debit cards work</w:t>
            </w:r>
            <w:r w:rsidR="00C02490">
              <w:rPr>
                <w:noProof/>
                <w:webHidden/>
              </w:rPr>
              <w:tab/>
            </w:r>
            <w:r w:rsidR="00C02490">
              <w:rPr>
                <w:noProof/>
                <w:webHidden/>
              </w:rPr>
              <w:fldChar w:fldCharType="begin"/>
            </w:r>
            <w:r w:rsidR="00C02490">
              <w:rPr>
                <w:noProof/>
                <w:webHidden/>
              </w:rPr>
              <w:instrText xml:space="preserve"> PAGEREF _Toc67933676 \h </w:instrText>
            </w:r>
            <w:r w:rsidR="00C02490">
              <w:rPr>
                <w:noProof/>
                <w:webHidden/>
              </w:rPr>
            </w:r>
            <w:r w:rsidR="00C02490">
              <w:rPr>
                <w:noProof/>
                <w:webHidden/>
              </w:rPr>
              <w:fldChar w:fldCharType="separate"/>
            </w:r>
            <w:r w:rsidR="00C741DC">
              <w:rPr>
                <w:noProof/>
                <w:webHidden/>
              </w:rPr>
              <w:t>4</w:t>
            </w:r>
            <w:r w:rsidR="00C02490">
              <w:rPr>
                <w:noProof/>
                <w:webHidden/>
              </w:rPr>
              <w:fldChar w:fldCharType="end"/>
            </w:r>
          </w:hyperlink>
        </w:p>
        <w:p w14:paraId="7C610BD7" w14:textId="71BA6874"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77"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Income management</w:t>
            </w:r>
            <w:r w:rsidR="00C02490">
              <w:rPr>
                <w:noProof/>
                <w:webHidden/>
              </w:rPr>
              <w:tab/>
            </w:r>
            <w:r w:rsidR="00C02490">
              <w:rPr>
                <w:noProof/>
                <w:webHidden/>
              </w:rPr>
              <w:fldChar w:fldCharType="begin"/>
            </w:r>
            <w:r w:rsidR="00C02490">
              <w:rPr>
                <w:noProof/>
                <w:webHidden/>
              </w:rPr>
              <w:instrText xml:space="preserve"> PAGEREF _Toc67933677 \h </w:instrText>
            </w:r>
            <w:r w:rsidR="00C02490">
              <w:rPr>
                <w:noProof/>
                <w:webHidden/>
              </w:rPr>
            </w:r>
            <w:r w:rsidR="00C02490">
              <w:rPr>
                <w:noProof/>
                <w:webHidden/>
              </w:rPr>
              <w:fldChar w:fldCharType="separate"/>
            </w:r>
            <w:r w:rsidR="00C741DC">
              <w:rPr>
                <w:noProof/>
                <w:webHidden/>
              </w:rPr>
              <w:t>4</w:t>
            </w:r>
            <w:r w:rsidR="00C02490">
              <w:rPr>
                <w:noProof/>
                <w:webHidden/>
              </w:rPr>
              <w:fldChar w:fldCharType="end"/>
            </w:r>
          </w:hyperlink>
        </w:p>
        <w:p w14:paraId="321039C8" w14:textId="79186C32"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78" w:history="1">
            <w:r w:rsidR="00C02490" w:rsidRPr="00F01773">
              <w:rPr>
                <w:rStyle w:val="Hyperlink"/>
                <w:rFonts w:ascii="Wingdings" w:eastAsiaTheme="majorEastAsia" w:hAnsi="Wingdings" w:cstheme="majorBidi"/>
                <w:noProof/>
              </w:rPr>
              <w:t></w:t>
            </w:r>
            <w:r w:rsidR="00C02490">
              <w:rPr>
                <w:rFonts w:asciiTheme="minorHAnsi" w:eastAsiaTheme="minorEastAsia" w:hAnsiTheme="minorHAnsi"/>
                <w:noProof/>
                <w:sz w:val="22"/>
                <w:szCs w:val="22"/>
                <w:lang w:val="en-AU" w:eastAsia="en-AU"/>
              </w:rPr>
              <w:tab/>
            </w:r>
            <w:r w:rsidR="00C02490" w:rsidRPr="00F01773">
              <w:rPr>
                <w:rStyle w:val="Hyperlink"/>
                <w:noProof/>
              </w:rPr>
              <w:t>Cashless debit card</w:t>
            </w:r>
            <w:r w:rsidR="00C02490">
              <w:rPr>
                <w:noProof/>
                <w:webHidden/>
              </w:rPr>
              <w:tab/>
            </w:r>
            <w:r w:rsidR="00C02490">
              <w:rPr>
                <w:noProof/>
                <w:webHidden/>
              </w:rPr>
              <w:fldChar w:fldCharType="begin"/>
            </w:r>
            <w:r w:rsidR="00C02490">
              <w:rPr>
                <w:noProof/>
                <w:webHidden/>
              </w:rPr>
              <w:instrText xml:space="preserve"> PAGEREF _Toc67933678 \h </w:instrText>
            </w:r>
            <w:r w:rsidR="00C02490">
              <w:rPr>
                <w:noProof/>
                <w:webHidden/>
              </w:rPr>
            </w:r>
            <w:r w:rsidR="00C02490">
              <w:rPr>
                <w:noProof/>
                <w:webHidden/>
              </w:rPr>
              <w:fldChar w:fldCharType="separate"/>
            </w:r>
            <w:r w:rsidR="00C741DC">
              <w:rPr>
                <w:noProof/>
                <w:webHidden/>
              </w:rPr>
              <w:t>5</w:t>
            </w:r>
            <w:r w:rsidR="00C02490">
              <w:rPr>
                <w:noProof/>
                <w:webHidden/>
              </w:rPr>
              <w:fldChar w:fldCharType="end"/>
            </w:r>
          </w:hyperlink>
        </w:p>
        <w:p w14:paraId="33857F1B" w14:textId="28554612"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679" w:history="1">
            <w:r w:rsidR="00C02490" w:rsidRPr="00F01773">
              <w:rPr>
                <w:rStyle w:val="Hyperlink"/>
                <w:noProof/>
              </w:rPr>
              <w:t>Differences between the BasicsCard and the CDC in practice</w:t>
            </w:r>
            <w:r w:rsidR="00C02490">
              <w:rPr>
                <w:noProof/>
                <w:webHidden/>
              </w:rPr>
              <w:tab/>
            </w:r>
            <w:r w:rsidR="00C02490">
              <w:rPr>
                <w:noProof/>
                <w:webHidden/>
              </w:rPr>
              <w:fldChar w:fldCharType="begin"/>
            </w:r>
            <w:r w:rsidR="00C02490">
              <w:rPr>
                <w:noProof/>
                <w:webHidden/>
              </w:rPr>
              <w:instrText xml:space="preserve"> PAGEREF _Toc67933679 \h </w:instrText>
            </w:r>
            <w:r w:rsidR="00C02490">
              <w:rPr>
                <w:noProof/>
                <w:webHidden/>
              </w:rPr>
            </w:r>
            <w:r w:rsidR="00C02490">
              <w:rPr>
                <w:noProof/>
                <w:webHidden/>
              </w:rPr>
              <w:fldChar w:fldCharType="separate"/>
            </w:r>
            <w:r w:rsidR="00C741DC">
              <w:rPr>
                <w:noProof/>
                <w:webHidden/>
              </w:rPr>
              <w:t>5</w:t>
            </w:r>
            <w:r w:rsidR="00C02490">
              <w:rPr>
                <w:noProof/>
                <w:webHidden/>
              </w:rPr>
              <w:fldChar w:fldCharType="end"/>
            </w:r>
          </w:hyperlink>
        </w:p>
        <w:p w14:paraId="2369F34C" w14:textId="18114E14"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0"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Eligibility</w:t>
            </w:r>
            <w:r w:rsidR="00C02490">
              <w:rPr>
                <w:noProof/>
                <w:webHidden/>
              </w:rPr>
              <w:tab/>
            </w:r>
            <w:r w:rsidR="00C02490">
              <w:rPr>
                <w:noProof/>
                <w:webHidden/>
              </w:rPr>
              <w:fldChar w:fldCharType="begin"/>
            </w:r>
            <w:r w:rsidR="00C02490">
              <w:rPr>
                <w:noProof/>
                <w:webHidden/>
              </w:rPr>
              <w:instrText xml:space="preserve"> PAGEREF _Toc67933680 \h </w:instrText>
            </w:r>
            <w:r w:rsidR="00C02490">
              <w:rPr>
                <w:noProof/>
                <w:webHidden/>
              </w:rPr>
            </w:r>
            <w:r w:rsidR="00C02490">
              <w:rPr>
                <w:noProof/>
                <w:webHidden/>
              </w:rPr>
              <w:fldChar w:fldCharType="separate"/>
            </w:r>
            <w:r w:rsidR="00C741DC">
              <w:rPr>
                <w:noProof/>
                <w:webHidden/>
              </w:rPr>
              <w:t>5</w:t>
            </w:r>
            <w:r w:rsidR="00C02490">
              <w:rPr>
                <w:noProof/>
                <w:webHidden/>
              </w:rPr>
              <w:fldChar w:fldCharType="end"/>
            </w:r>
          </w:hyperlink>
        </w:p>
        <w:p w14:paraId="32A75ED6" w14:textId="223315AC"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1"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Exemptions and options for exiting</w:t>
            </w:r>
            <w:r w:rsidR="00C02490">
              <w:rPr>
                <w:noProof/>
                <w:webHidden/>
              </w:rPr>
              <w:tab/>
            </w:r>
            <w:r w:rsidR="00C02490">
              <w:rPr>
                <w:noProof/>
                <w:webHidden/>
              </w:rPr>
              <w:fldChar w:fldCharType="begin"/>
            </w:r>
            <w:r w:rsidR="00C02490">
              <w:rPr>
                <w:noProof/>
                <w:webHidden/>
              </w:rPr>
              <w:instrText xml:space="preserve"> PAGEREF _Toc67933681 \h </w:instrText>
            </w:r>
            <w:r w:rsidR="00C02490">
              <w:rPr>
                <w:noProof/>
                <w:webHidden/>
              </w:rPr>
            </w:r>
            <w:r w:rsidR="00C02490">
              <w:rPr>
                <w:noProof/>
                <w:webHidden/>
              </w:rPr>
              <w:fldChar w:fldCharType="separate"/>
            </w:r>
            <w:r w:rsidR="00C741DC">
              <w:rPr>
                <w:noProof/>
                <w:webHidden/>
              </w:rPr>
              <w:t>5</w:t>
            </w:r>
            <w:r w:rsidR="00C02490">
              <w:rPr>
                <w:noProof/>
                <w:webHidden/>
              </w:rPr>
              <w:fldChar w:fldCharType="end"/>
            </w:r>
          </w:hyperlink>
        </w:p>
        <w:p w14:paraId="59EE025F" w14:textId="6C648284"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2"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Percentage of payment quarantined</w:t>
            </w:r>
            <w:r w:rsidR="00C02490">
              <w:rPr>
                <w:noProof/>
                <w:webHidden/>
              </w:rPr>
              <w:tab/>
            </w:r>
            <w:r w:rsidR="00C02490">
              <w:rPr>
                <w:noProof/>
                <w:webHidden/>
              </w:rPr>
              <w:fldChar w:fldCharType="begin"/>
            </w:r>
            <w:r w:rsidR="00C02490">
              <w:rPr>
                <w:noProof/>
                <w:webHidden/>
              </w:rPr>
              <w:instrText xml:space="preserve"> PAGEREF _Toc67933682 \h </w:instrText>
            </w:r>
            <w:r w:rsidR="00C02490">
              <w:rPr>
                <w:noProof/>
                <w:webHidden/>
              </w:rPr>
            </w:r>
            <w:r w:rsidR="00C02490">
              <w:rPr>
                <w:noProof/>
                <w:webHidden/>
              </w:rPr>
              <w:fldChar w:fldCharType="separate"/>
            </w:r>
            <w:r w:rsidR="00C741DC">
              <w:rPr>
                <w:noProof/>
                <w:webHidden/>
              </w:rPr>
              <w:t>6</w:t>
            </w:r>
            <w:r w:rsidR="00C02490">
              <w:rPr>
                <w:noProof/>
                <w:webHidden/>
              </w:rPr>
              <w:fldChar w:fldCharType="end"/>
            </w:r>
          </w:hyperlink>
        </w:p>
        <w:p w14:paraId="1ADDCD0E" w14:textId="1E78E256"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3"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Merchants:</w:t>
            </w:r>
            <w:r w:rsidR="00C02490">
              <w:rPr>
                <w:noProof/>
                <w:webHidden/>
              </w:rPr>
              <w:tab/>
            </w:r>
            <w:r w:rsidR="00C02490">
              <w:rPr>
                <w:noProof/>
                <w:webHidden/>
              </w:rPr>
              <w:fldChar w:fldCharType="begin"/>
            </w:r>
            <w:r w:rsidR="00C02490">
              <w:rPr>
                <w:noProof/>
                <w:webHidden/>
              </w:rPr>
              <w:instrText xml:space="preserve"> PAGEREF _Toc67933683 \h </w:instrText>
            </w:r>
            <w:r w:rsidR="00C02490">
              <w:rPr>
                <w:noProof/>
                <w:webHidden/>
              </w:rPr>
            </w:r>
            <w:r w:rsidR="00C02490">
              <w:rPr>
                <w:noProof/>
                <w:webHidden/>
              </w:rPr>
              <w:fldChar w:fldCharType="separate"/>
            </w:r>
            <w:r w:rsidR="00C741DC">
              <w:rPr>
                <w:noProof/>
                <w:webHidden/>
              </w:rPr>
              <w:t>6</w:t>
            </w:r>
            <w:r w:rsidR="00C02490">
              <w:rPr>
                <w:noProof/>
                <w:webHidden/>
              </w:rPr>
              <w:fldChar w:fldCharType="end"/>
            </w:r>
          </w:hyperlink>
        </w:p>
        <w:p w14:paraId="4A10640F" w14:textId="0A58AA90"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4" w:history="1">
            <w:r w:rsidR="00C02490" w:rsidRPr="00F01773">
              <w:rPr>
                <w:rStyle w:val="Hyperlink"/>
                <w:rFonts w:ascii="Wingdings" w:eastAsiaTheme="majorEastAsia" w:hAnsi="Wingdings" w:cstheme="majorBidi"/>
                <w:noProof/>
              </w:rPr>
              <w:t></w:t>
            </w:r>
            <w:r w:rsidR="00C02490">
              <w:rPr>
                <w:rFonts w:asciiTheme="minorHAnsi" w:eastAsiaTheme="minorEastAsia" w:hAnsiTheme="minorHAnsi"/>
                <w:noProof/>
                <w:sz w:val="22"/>
                <w:szCs w:val="22"/>
                <w:lang w:val="en-AU" w:eastAsia="en-AU"/>
              </w:rPr>
              <w:tab/>
            </w:r>
            <w:r w:rsidR="00C02490" w:rsidRPr="00F01773">
              <w:rPr>
                <w:rStyle w:val="Hyperlink"/>
                <w:noProof/>
              </w:rPr>
              <w:t>Merchant responsibilities:</w:t>
            </w:r>
            <w:r w:rsidR="00C02490">
              <w:rPr>
                <w:noProof/>
                <w:webHidden/>
              </w:rPr>
              <w:tab/>
            </w:r>
            <w:r w:rsidR="00C02490">
              <w:rPr>
                <w:noProof/>
                <w:webHidden/>
              </w:rPr>
              <w:fldChar w:fldCharType="begin"/>
            </w:r>
            <w:r w:rsidR="00C02490">
              <w:rPr>
                <w:noProof/>
                <w:webHidden/>
              </w:rPr>
              <w:instrText xml:space="preserve"> PAGEREF _Toc67933684 \h </w:instrText>
            </w:r>
            <w:r w:rsidR="00C02490">
              <w:rPr>
                <w:noProof/>
                <w:webHidden/>
              </w:rPr>
            </w:r>
            <w:r w:rsidR="00C02490">
              <w:rPr>
                <w:noProof/>
                <w:webHidden/>
              </w:rPr>
              <w:fldChar w:fldCharType="separate"/>
            </w:r>
            <w:r w:rsidR="00C741DC">
              <w:rPr>
                <w:noProof/>
                <w:webHidden/>
              </w:rPr>
              <w:t>6</w:t>
            </w:r>
            <w:r w:rsidR="00C02490">
              <w:rPr>
                <w:noProof/>
                <w:webHidden/>
              </w:rPr>
              <w:fldChar w:fldCharType="end"/>
            </w:r>
          </w:hyperlink>
        </w:p>
        <w:p w14:paraId="71DB6259" w14:textId="76A78ECE"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5" w:history="1">
            <w:r w:rsidR="00C02490" w:rsidRPr="00F01773">
              <w:rPr>
                <w:rStyle w:val="Hyperlink"/>
                <w:rFonts w:ascii="Wingdings" w:eastAsiaTheme="majorEastAsia" w:hAnsi="Wingdings" w:cstheme="majorBidi"/>
                <w:noProof/>
              </w:rPr>
              <w:t></w:t>
            </w:r>
            <w:r w:rsidR="00C02490">
              <w:rPr>
                <w:rFonts w:asciiTheme="minorHAnsi" w:eastAsiaTheme="minorEastAsia" w:hAnsiTheme="minorHAnsi"/>
                <w:noProof/>
                <w:sz w:val="22"/>
                <w:szCs w:val="22"/>
                <w:lang w:val="en-AU" w:eastAsia="en-AU"/>
              </w:rPr>
              <w:tab/>
            </w:r>
            <w:r w:rsidR="00C02490" w:rsidRPr="00F01773">
              <w:rPr>
                <w:rStyle w:val="Hyperlink"/>
                <w:noProof/>
              </w:rPr>
              <w:t>Face-to-face assistance with budgeting:</w:t>
            </w:r>
            <w:r w:rsidR="00C02490">
              <w:rPr>
                <w:noProof/>
                <w:webHidden/>
              </w:rPr>
              <w:tab/>
            </w:r>
            <w:r w:rsidR="00C02490">
              <w:rPr>
                <w:noProof/>
                <w:webHidden/>
              </w:rPr>
              <w:fldChar w:fldCharType="begin"/>
            </w:r>
            <w:r w:rsidR="00C02490">
              <w:rPr>
                <w:noProof/>
                <w:webHidden/>
              </w:rPr>
              <w:instrText xml:space="preserve"> PAGEREF _Toc67933685 \h </w:instrText>
            </w:r>
            <w:r w:rsidR="00C02490">
              <w:rPr>
                <w:noProof/>
                <w:webHidden/>
              </w:rPr>
            </w:r>
            <w:r w:rsidR="00C02490">
              <w:rPr>
                <w:noProof/>
                <w:webHidden/>
              </w:rPr>
              <w:fldChar w:fldCharType="separate"/>
            </w:r>
            <w:r w:rsidR="00C741DC">
              <w:rPr>
                <w:noProof/>
                <w:webHidden/>
              </w:rPr>
              <w:t>6</w:t>
            </w:r>
            <w:r w:rsidR="00C02490">
              <w:rPr>
                <w:noProof/>
                <w:webHidden/>
              </w:rPr>
              <w:fldChar w:fldCharType="end"/>
            </w:r>
          </w:hyperlink>
        </w:p>
        <w:p w14:paraId="0858D471" w14:textId="49FBCF25"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6" w:history="1">
            <w:r w:rsidR="00C02490" w:rsidRPr="00F01773">
              <w:rPr>
                <w:rStyle w:val="Hyperlink"/>
                <w:rFonts w:ascii="Wingdings" w:eastAsiaTheme="majorEastAsia" w:hAnsi="Wingdings" w:cstheme="majorBidi"/>
                <w:noProof/>
              </w:rPr>
              <w:t></w:t>
            </w:r>
            <w:r w:rsidR="00C02490">
              <w:rPr>
                <w:rFonts w:asciiTheme="minorHAnsi" w:eastAsiaTheme="minorEastAsia" w:hAnsiTheme="minorHAnsi"/>
                <w:noProof/>
                <w:sz w:val="22"/>
                <w:szCs w:val="22"/>
                <w:lang w:val="en-AU" w:eastAsia="en-AU"/>
              </w:rPr>
              <w:tab/>
            </w:r>
            <w:r w:rsidR="00C02490" w:rsidRPr="00F01773">
              <w:rPr>
                <w:rStyle w:val="Hyperlink"/>
                <w:noProof/>
              </w:rPr>
              <w:t>Cash access:</w:t>
            </w:r>
            <w:r w:rsidR="00C02490">
              <w:rPr>
                <w:noProof/>
                <w:webHidden/>
              </w:rPr>
              <w:tab/>
            </w:r>
            <w:r w:rsidR="00C02490">
              <w:rPr>
                <w:noProof/>
                <w:webHidden/>
              </w:rPr>
              <w:fldChar w:fldCharType="begin"/>
            </w:r>
            <w:r w:rsidR="00C02490">
              <w:rPr>
                <w:noProof/>
                <w:webHidden/>
              </w:rPr>
              <w:instrText xml:space="preserve"> PAGEREF _Toc67933686 \h </w:instrText>
            </w:r>
            <w:r w:rsidR="00C02490">
              <w:rPr>
                <w:noProof/>
                <w:webHidden/>
              </w:rPr>
            </w:r>
            <w:r w:rsidR="00C02490">
              <w:rPr>
                <w:noProof/>
                <w:webHidden/>
              </w:rPr>
              <w:fldChar w:fldCharType="separate"/>
            </w:r>
            <w:r w:rsidR="00C741DC">
              <w:rPr>
                <w:noProof/>
                <w:webHidden/>
              </w:rPr>
              <w:t>7</w:t>
            </w:r>
            <w:r w:rsidR="00C02490">
              <w:rPr>
                <w:noProof/>
                <w:webHidden/>
              </w:rPr>
              <w:fldChar w:fldCharType="end"/>
            </w:r>
          </w:hyperlink>
        </w:p>
        <w:p w14:paraId="52DA99F0" w14:textId="1AF97795"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7" w:history="1">
            <w:r w:rsidR="00C02490" w:rsidRPr="00F01773">
              <w:rPr>
                <w:rStyle w:val="Hyperlink"/>
                <w:rFonts w:ascii="Wingdings" w:eastAsiaTheme="majorEastAsia" w:hAnsi="Wingdings" w:cstheme="majorBidi"/>
                <w:noProof/>
              </w:rPr>
              <w:t></w:t>
            </w:r>
            <w:r w:rsidR="00C02490">
              <w:rPr>
                <w:rFonts w:asciiTheme="minorHAnsi" w:eastAsiaTheme="minorEastAsia" w:hAnsiTheme="minorHAnsi"/>
                <w:noProof/>
                <w:sz w:val="22"/>
                <w:szCs w:val="22"/>
                <w:lang w:val="en-AU" w:eastAsia="en-AU"/>
              </w:rPr>
              <w:tab/>
            </w:r>
            <w:r w:rsidR="00C02490" w:rsidRPr="00F01773">
              <w:rPr>
                <w:rStyle w:val="Hyperlink"/>
                <w:noProof/>
              </w:rPr>
              <w:t>Excluded items:</w:t>
            </w:r>
            <w:r w:rsidR="00C02490">
              <w:rPr>
                <w:noProof/>
                <w:webHidden/>
              </w:rPr>
              <w:tab/>
            </w:r>
            <w:r w:rsidR="00C02490">
              <w:rPr>
                <w:noProof/>
                <w:webHidden/>
              </w:rPr>
              <w:fldChar w:fldCharType="begin"/>
            </w:r>
            <w:r w:rsidR="00C02490">
              <w:rPr>
                <w:noProof/>
                <w:webHidden/>
              </w:rPr>
              <w:instrText xml:space="preserve"> PAGEREF _Toc67933687 \h </w:instrText>
            </w:r>
            <w:r w:rsidR="00C02490">
              <w:rPr>
                <w:noProof/>
                <w:webHidden/>
              </w:rPr>
            </w:r>
            <w:r w:rsidR="00C02490">
              <w:rPr>
                <w:noProof/>
                <w:webHidden/>
              </w:rPr>
              <w:fldChar w:fldCharType="separate"/>
            </w:r>
            <w:r w:rsidR="00C741DC">
              <w:rPr>
                <w:noProof/>
                <w:webHidden/>
              </w:rPr>
              <w:t>7</w:t>
            </w:r>
            <w:r w:rsidR="00C02490">
              <w:rPr>
                <w:noProof/>
                <w:webHidden/>
              </w:rPr>
              <w:fldChar w:fldCharType="end"/>
            </w:r>
          </w:hyperlink>
        </w:p>
        <w:p w14:paraId="27507072" w14:textId="4E395F20"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8" w:history="1">
            <w:r w:rsidR="00C02490" w:rsidRPr="00F01773">
              <w:rPr>
                <w:rStyle w:val="Hyperlink"/>
                <w:rFonts w:ascii="Wingdings" w:eastAsiaTheme="majorEastAsia" w:hAnsi="Wingdings" w:cstheme="majorBidi"/>
                <w:noProof/>
              </w:rPr>
              <w:t></w:t>
            </w:r>
            <w:r w:rsidR="00C02490">
              <w:rPr>
                <w:rFonts w:asciiTheme="minorHAnsi" w:eastAsiaTheme="minorEastAsia" w:hAnsiTheme="minorHAnsi"/>
                <w:noProof/>
                <w:sz w:val="22"/>
                <w:szCs w:val="22"/>
                <w:lang w:val="en-AU" w:eastAsia="en-AU"/>
              </w:rPr>
              <w:tab/>
            </w:r>
            <w:r w:rsidR="00C02490" w:rsidRPr="00F01773">
              <w:rPr>
                <w:rStyle w:val="Hyperlink"/>
                <w:noProof/>
              </w:rPr>
              <w:t>Cost of administration:</w:t>
            </w:r>
            <w:r w:rsidR="00C02490">
              <w:rPr>
                <w:noProof/>
                <w:webHidden/>
              </w:rPr>
              <w:tab/>
            </w:r>
            <w:r w:rsidR="00C02490">
              <w:rPr>
                <w:noProof/>
                <w:webHidden/>
              </w:rPr>
              <w:fldChar w:fldCharType="begin"/>
            </w:r>
            <w:r w:rsidR="00C02490">
              <w:rPr>
                <w:noProof/>
                <w:webHidden/>
              </w:rPr>
              <w:instrText xml:space="preserve"> PAGEREF _Toc67933688 \h </w:instrText>
            </w:r>
            <w:r w:rsidR="00C02490">
              <w:rPr>
                <w:noProof/>
                <w:webHidden/>
              </w:rPr>
            </w:r>
            <w:r w:rsidR="00C02490">
              <w:rPr>
                <w:noProof/>
                <w:webHidden/>
              </w:rPr>
              <w:fldChar w:fldCharType="separate"/>
            </w:r>
            <w:r w:rsidR="00C741DC">
              <w:rPr>
                <w:noProof/>
                <w:webHidden/>
              </w:rPr>
              <w:t>7</w:t>
            </w:r>
            <w:r w:rsidR="00C02490">
              <w:rPr>
                <w:noProof/>
                <w:webHidden/>
              </w:rPr>
              <w:fldChar w:fldCharType="end"/>
            </w:r>
          </w:hyperlink>
        </w:p>
        <w:p w14:paraId="53F67A3D" w14:textId="37E91B3F"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89" w:history="1">
            <w:r w:rsidR="00C02490" w:rsidRPr="00F01773">
              <w:rPr>
                <w:rStyle w:val="Hyperlink"/>
                <w:rFonts w:ascii="Wingdings" w:eastAsiaTheme="majorEastAsia" w:hAnsi="Wingdings" w:cstheme="majorBidi"/>
                <w:noProof/>
              </w:rPr>
              <w:t></w:t>
            </w:r>
            <w:r w:rsidR="00C02490">
              <w:rPr>
                <w:rFonts w:asciiTheme="minorHAnsi" w:eastAsiaTheme="minorEastAsia" w:hAnsiTheme="minorHAnsi"/>
                <w:noProof/>
                <w:sz w:val="22"/>
                <w:szCs w:val="22"/>
                <w:lang w:val="en-AU" w:eastAsia="en-AU"/>
              </w:rPr>
              <w:tab/>
            </w:r>
            <w:r w:rsidR="00C02490" w:rsidRPr="00F01773">
              <w:rPr>
                <w:rStyle w:val="Hyperlink"/>
                <w:noProof/>
              </w:rPr>
              <w:t>Information collection and sharing</w:t>
            </w:r>
            <w:r w:rsidR="00C02490">
              <w:rPr>
                <w:noProof/>
                <w:webHidden/>
              </w:rPr>
              <w:tab/>
            </w:r>
            <w:r w:rsidR="00C02490">
              <w:rPr>
                <w:noProof/>
                <w:webHidden/>
              </w:rPr>
              <w:fldChar w:fldCharType="begin"/>
            </w:r>
            <w:r w:rsidR="00C02490">
              <w:rPr>
                <w:noProof/>
                <w:webHidden/>
              </w:rPr>
              <w:instrText xml:space="preserve"> PAGEREF _Toc67933689 \h </w:instrText>
            </w:r>
            <w:r w:rsidR="00C02490">
              <w:rPr>
                <w:noProof/>
                <w:webHidden/>
              </w:rPr>
            </w:r>
            <w:r w:rsidR="00C02490">
              <w:rPr>
                <w:noProof/>
                <w:webHidden/>
              </w:rPr>
              <w:fldChar w:fldCharType="separate"/>
            </w:r>
            <w:r w:rsidR="00C741DC">
              <w:rPr>
                <w:noProof/>
                <w:webHidden/>
              </w:rPr>
              <w:t>7</w:t>
            </w:r>
            <w:r w:rsidR="00C02490">
              <w:rPr>
                <w:noProof/>
                <w:webHidden/>
              </w:rPr>
              <w:fldChar w:fldCharType="end"/>
            </w:r>
          </w:hyperlink>
        </w:p>
        <w:p w14:paraId="31BC522C" w14:textId="633E9CBE" w:rsidR="00C02490" w:rsidRDefault="00745132">
          <w:pPr>
            <w:pStyle w:val="TOC1"/>
            <w:tabs>
              <w:tab w:val="right" w:leader="dot" w:pos="9628"/>
            </w:tabs>
            <w:rPr>
              <w:rFonts w:asciiTheme="minorHAnsi" w:eastAsiaTheme="minorEastAsia" w:hAnsiTheme="minorHAnsi"/>
              <w:b w:val="0"/>
              <w:bCs w:val="0"/>
              <w:i w:val="0"/>
              <w:iCs w:val="0"/>
              <w:noProof/>
              <w:sz w:val="22"/>
              <w:szCs w:val="22"/>
              <w:lang w:val="en-AU" w:eastAsia="en-AU"/>
            </w:rPr>
          </w:pPr>
          <w:hyperlink w:anchor="_Toc67933690" w:history="1">
            <w:r w:rsidR="00C02490" w:rsidRPr="00F01773">
              <w:rPr>
                <w:rStyle w:val="Hyperlink"/>
                <w:noProof/>
              </w:rPr>
              <w:t>The Amended CDC Legislation</w:t>
            </w:r>
            <w:r w:rsidR="00C02490">
              <w:rPr>
                <w:noProof/>
                <w:webHidden/>
              </w:rPr>
              <w:tab/>
            </w:r>
            <w:r w:rsidR="00C02490">
              <w:rPr>
                <w:noProof/>
                <w:webHidden/>
              </w:rPr>
              <w:fldChar w:fldCharType="begin"/>
            </w:r>
            <w:r w:rsidR="00C02490">
              <w:rPr>
                <w:noProof/>
                <w:webHidden/>
              </w:rPr>
              <w:instrText xml:space="preserve"> PAGEREF _Toc67933690 \h </w:instrText>
            </w:r>
            <w:r w:rsidR="00C02490">
              <w:rPr>
                <w:noProof/>
                <w:webHidden/>
              </w:rPr>
            </w:r>
            <w:r w:rsidR="00C02490">
              <w:rPr>
                <w:noProof/>
                <w:webHidden/>
              </w:rPr>
              <w:fldChar w:fldCharType="separate"/>
            </w:r>
            <w:r w:rsidR="00C741DC">
              <w:rPr>
                <w:noProof/>
                <w:webHidden/>
              </w:rPr>
              <w:t>7</w:t>
            </w:r>
            <w:r w:rsidR="00C02490">
              <w:rPr>
                <w:noProof/>
                <w:webHidden/>
              </w:rPr>
              <w:fldChar w:fldCharType="end"/>
            </w:r>
          </w:hyperlink>
        </w:p>
        <w:p w14:paraId="20A93DEC" w14:textId="289988F4"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691" w:history="1">
            <w:r w:rsidR="00C02490" w:rsidRPr="00F01773">
              <w:rPr>
                <w:rStyle w:val="Hyperlink"/>
                <w:noProof/>
              </w:rPr>
              <w:t>Existing trial areas</w:t>
            </w:r>
            <w:r w:rsidR="00C02490">
              <w:rPr>
                <w:noProof/>
                <w:webHidden/>
              </w:rPr>
              <w:tab/>
            </w:r>
            <w:r w:rsidR="00C02490">
              <w:rPr>
                <w:noProof/>
                <w:webHidden/>
              </w:rPr>
              <w:fldChar w:fldCharType="begin"/>
            </w:r>
            <w:r w:rsidR="00C02490">
              <w:rPr>
                <w:noProof/>
                <w:webHidden/>
              </w:rPr>
              <w:instrText xml:space="preserve"> PAGEREF _Toc67933691 \h </w:instrText>
            </w:r>
            <w:r w:rsidR="00C02490">
              <w:rPr>
                <w:noProof/>
                <w:webHidden/>
              </w:rPr>
            </w:r>
            <w:r w:rsidR="00C02490">
              <w:rPr>
                <w:noProof/>
                <w:webHidden/>
              </w:rPr>
              <w:fldChar w:fldCharType="separate"/>
            </w:r>
            <w:r w:rsidR="00C741DC">
              <w:rPr>
                <w:noProof/>
                <w:webHidden/>
              </w:rPr>
              <w:t>9</w:t>
            </w:r>
            <w:r w:rsidR="00C02490">
              <w:rPr>
                <w:noProof/>
                <w:webHidden/>
              </w:rPr>
              <w:fldChar w:fldCharType="end"/>
            </w:r>
          </w:hyperlink>
        </w:p>
        <w:p w14:paraId="17B95BB5" w14:textId="0183A43A"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692" w:history="1">
            <w:r w:rsidR="00C02490" w:rsidRPr="00F01773">
              <w:rPr>
                <w:rStyle w:val="Hyperlink"/>
                <w:noProof/>
              </w:rPr>
              <w:t>The Northern Territory</w:t>
            </w:r>
            <w:r w:rsidR="00C02490">
              <w:rPr>
                <w:noProof/>
                <w:webHidden/>
              </w:rPr>
              <w:tab/>
            </w:r>
            <w:r w:rsidR="00C02490">
              <w:rPr>
                <w:noProof/>
                <w:webHidden/>
              </w:rPr>
              <w:fldChar w:fldCharType="begin"/>
            </w:r>
            <w:r w:rsidR="00C02490">
              <w:rPr>
                <w:noProof/>
                <w:webHidden/>
              </w:rPr>
              <w:instrText xml:space="preserve"> PAGEREF _Toc67933692 \h </w:instrText>
            </w:r>
            <w:r w:rsidR="00C02490">
              <w:rPr>
                <w:noProof/>
                <w:webHidden/>
              </w:rPr>
            </w:r>
            <w:r w:rsidR="00C02490">
              <w:rPr>
                <w:noProof/>
                <w:webHidden/>
              </w:rPr>
              <w:fldChar w:fldCharType="separate"/>
            </w:r>
            <w:r w:rsidR="00C741DC">
              <w:rPr>
                <w:noProof/>
                <w:webHidden/>
              </w:rPr>
              <w:t>9</w:t>
            </w:r>
            <w:r w:rsidR="00C02490">
              <w:rPr>
                <w:noProof/>
                <w:webHidden/>
              </w:rPr>
              <w:fldChar w:fldCharType="end"/>
            </w:r>
          </w:hyperlink>
        </w:p>
        <w:p w14:paraId="3CFFE17B" w14:textId="5826C773"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93"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Solely opt-in or voluntary program</w:t>
            </w:r>
            <w:r w:rsidR="00C02490">
              <w:rPr>
                <w:noProof/>
                <w:webHidden/>
              </w:rPr>
              <w:tab/>
            </w:r>
            <w:r w:rsidR="00C02490">
              <w:rPr>
                <w:noProof/>
                <w:webHidden/>
              </w:rPr>
              <w:fldChar w:fldCharType="begin"/>
            </w:r>
            <w:r w:rsidR="00C02490">
              <w:rPr>
                <w:noProof/>
                <w:webHidden/>
              </w:rPr>
              <w:instrText xml:space="preserve"> PAGEREF _Toc67933693 \h </w:instrText>
            </w:r>
            <w:r w:rsidR="00C02490">
              <w:rPr>
                <w:noProof/>
                <w:webHidden/>
              </w:rPr>
            </w:r>
            <w:r w:rsidR="00C02490">
              <w:rPr>
                <w:noProof/>
                <w:webHidden/>
              </w:rPr>
              <w:fldChar w:fldCharType="separate"/>
            </w:r>
            <w:r w:rsidR="00C741DC">
              <w:rPr>
                <w:noProof/>
                <w:webHidden/>
              </w:rPr>
              <w:t>9</w:t>
            </w:r>
            <w:r w:rsidR="00C02490">
              <w:rPr>
                <w:noProof/>
                <w:webHidden/>
              </w:rPr>
              <w:fldChar w:fldCharType="end"/>
            </w:r>
          </w:hyperlink>
        </w:p>
        <w:p w14:paraId="3F7A0466" w14:textId="3E3B1BC6"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94"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Concurrent Income Management program</w:t>
            </w:r>
            <w:r w:rsidR="00C02490">
              <w:rPr>
                <w:noProof/>
                <w:webHidden/>
              </w:rPr>
              <w:tab/>
            </w:r>
            <w:r w:rsidR="00C02490">
              <w:rPr>
                <w:noProof/>
                <w:webHidden/>
              </w:rPr>
              <w:fldChar w:fldCharType="begin"/>
            </w:r>
            <w:r w:rsidR="00C02490">
              <w:rPr>
                <w:noProof/>
                <w:webHidden/>
              </w:rPr>
              <w:instrText xml:space="preserve"> PAGEREF _Toc67933694 \h </w:instrText>
            </w:r>
            <w:r w:rsidR="00C02490">
              <w:rPr>
                <w:noProof/>
                <w:webHidden/>
              </w:rPr>
            </w:r>
            <w:r w:rsidR="00C02490">
              <w:rPr>
                <w:noProof/>
                <w:webHidden/>
              </w:rPr>
              <w:fldChar w:fldCharType="separate"/>
            </w:r>
            <w:r w:rsidR="00C741DC">
              <w:rPr>
                <w:noProof/>
                <w:webHidden/>
              </w:rPr>
              <w:t>9</w:t>
            </w:r>
            <w:r w:rsidR="00C02490">
              <w:rPr>
                <w:noProof/>
                <w:webHidden/>
              </w:rPr>
              <w:fldChar w:fldCharType="end"/>
            </w:r>
          </w:hyperlink>
        </w:p>
        <w:p w14:paraId="4707994B" w14:textId="6DCE99F1"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95"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Option to transition from IM to the CDC program</w:t>
            </w:r>
            <w:r w:rsidR="00C02490">
              <w:rPr>
                <w:noProof/>
                <w:webHidden/>
              </w:rPr>
              <w:tab/>
            </w:r>
            <w:r w:rsidR="00C02490">
              <w:rPr>
                <w:noProof/>
                <w:webHidden/>
              </w:rPr>
              <w:fldChar w:fldCharType="begin"/>
            </w:r>
            <w:r w:rsidR="00C02490">
              <w:rPr>
                <w:noProof/>
                <w:webHidden/>
              </w:rPr>
              <w:instrText xml:space="preserve"> PAGEREF _Toc67933695 \h </w:instrText>
            </w:r>
            <w:r w:rsidR="00C02490">
              <w:rPr>
                <w:noProof/>
                <w:webHidden/>
              </w:rPr>
            </w:r>
            <w:r w:rsidR="00C02490">
              <w:rPr>
                <w:noProof/>
                <w:webHidden/>
              </w:rPr>
              <w:fldChar w:fldCharType="separate"/>
            </w:r>
            <w:r w:rsidR="00C741DC">
              <w:rPr>
                <w:noProof/>
                <w:webHidden/>
              </w:rPr>
              <w:t>9</w:t>
            </w:r>
            <w:r w:rsidR="00C02490">
              <w:rPr>
                <w:noProof/>
                <w:webHidden/>
              </w:rPr>
              <w:fldChar w:fldCharType="end"/>
            </w:r>
          </w:hyperlink>
        </w:p>
        <w:p w14:paraId="09909CBA" w14:textId="2AFBED8D"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96"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Voluntary participation</w:t>
            </w:r>
            <w:r w:rsidR="00C02490">
              <w:rPr>
                <w:noProof/>
                <w:webHidden/>
              </w:rPr>
              <w:tab/>
            </w:r>
            <w:r w:rsidR="00C02490">
              <w:rPr>
                <w:noProof/>
                <w:webHidden/>
              </w:rPr>
              <w:fldChar w:fldCharType="begin"/>
            </w:r>
            <w:r w:rsidR="00C02490">
              <w:rPr>
                <w:noProof/>
                <w:webHidden/>
              </w:rPr>
              <w:instrText xml:space="preserve"> PAGEREF _Toc67933696 \h </w:instrText>
            </w:r>
            <w:r w:rsidR="00C02490">
              <w:rPr>
                <w:noProof/>
                <w:webHidden/>
              </w:rPr>
            </w:r>
            <w:r w:rsidR="00C02490">
              <w:rPr>
                <w:noProof/>
                <w:webHidden/>
              </w:rPr>
              <w:fldChar w:fldCharType="separate"/>
            </w:r>
            <w:r w:rsidR="00C741DC">
              <w:rPr>
                <w:noProof/>
                <w:webHidden/>
              </w:rPr>
              <w:t>11</w:t>
            </w:r>
            <w:r w:rsidR="00C02490">
              <w:rPr>
                <w:noProof/>
                <w:webHidden/>
              </w:rPr>
              <w:fldChar w:fldCharType="end"/>
            </w:r>
          </w:hyperlink>
        </w:p>
        <w:p w14:paraId="0BD9542E" w14:textId="11D72257"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697" w:history="1">
            <w:r w:rsidR="00C02490" w:rsidRPr="00F01773">
              <w:rPr>
                <w:rStyle w:val="Hyperlink"/>
                <w:noProof/>
              </w:rPr>
              <w:t>Cape York, Queensland</w:t>
            </w:r>
            <w:r w:rsidR="00C02490">
              <w:rPr>
                <w:noProof/>
                <w:webHidden/>
              </w:rPr>
              <w:tab/>
            </w:r>
            <w:r w:rsidR="00C02490">
              <w:rPr>
                <w:noProof/>
                <w:webHidden/>
              </w:rPr>
              <w:fldChar w:fldCharType="begin"/>
            </w:r>
            <w:r w:rsidR="00C02490">
              <w:rPr>
                <w:noProof/>
                <w:webHidden/>
              </w:rPr>
              <w:instrText xml:space="preserve"> PAGEREF _Toc67933697 \h </w:instrText>
            </w:r>
            <w:r w:rsidR="00C02490">
              <w:rPr>
                <w:noProof/>
                <w:webHidden/>
              </w:rPr>
            </w:r>
            <w:r w:rsidR="00C02490">
              <w:rPr>
                <w:noProof/>
                <w:webHidden/>
              </w:rPr>
              <w:fldChar w:fldCharType="separate"/>
            </w:r>
            <w:r w:rsidR="00C741DC">
              <w:rPr>
                <w:noProof/>
                <w:webHidden/>
              </w:rPr>
              <w:t>11</w:t>
            </w:r>
            <w:r w:rsidR="00C02490">
              <w:rPr>
                <w:noProof/>
                <w:webHidden/>
              </w:rPr>
              <w:fldChar w:fldCharType="end"/>
            </w:r>
          </w:hyperlink>
        </w:p>
        <w:p w14:paraId="2B7F1C90" w14:textId="7D66852A"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98"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Transitions from Income Management</w:t>
            </w:r>
            <w:r w:rsidR="00C02490">
              <w:rPr>
                <w:noProof/>
                <w:webHidden/>
              </w:rPr>
              <w:tab/>
            </w:r>
            <w:r w:rsidR="00C02490">
              <w:rPr>
                <w:noProof/>
                <w:webHidden/>
              </w:rPr>
              <w:fldChar w:fldCharType="begin"/>
            </w:r>
            <w:r w:rsidR="00C02490">
              <w:rPr>
                <w:noProof/>
                <w:webHidden/>
              </w:rPr>
              <w:instrText xml:space="preserve"> PAGEREF _Toc67933698 \h </w:instrText>
            </w:r>
            <w:r w:rsidR="00C02490">
              <w:rPr>
                <w:noProof/>
                <w:webHidden/>
              </w:rPr>
            </w:r>
            <w:r w:rsidR="00C02490">
              <w:rPr>
                <w:noProof/>
                <w:webHidden/>
              </w:rPr>
              <w:fldChar w:fldCharType="separate"/>
            </w:r>
            <w:r w:rsidR="00C741DC">
              <w:rPr>
                <w:noProof/>
                <w:webHidden/>
              </w:rPr>
              <w:t>12</w:t>
            </w:r>
            <w:r w:rsidR="00C02490">
              <w:rPr>
                <w:noProof/>
                <w:webHidden/>
              </w:rPr>
              <w:fldChar w:fldCharType="end"/>
            </w:r>
          </w:hyperlink>
        </w:p>
        <w:p w14:paraId="46778E76" w14:textId="2C0F6DED"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699"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New CDC program participants</w:t>
            </w:r>
            <w:r w:rsidR="00C02490">
              <w:rPr>
                <w:noProof/>
                <w:webHidden/>
              </w:rPr>
              <w:tab/>
            </w:r>
            <w:r w:rsidR="00C02490">
              <w:rPr>
                <w:noProof/>
                <w:webHidden/>
              </w:rPr>
              <w:fldChar w:fldCharType="begin"/>
            </w:r>
            <w:r w:rsidR="00C02490">
              <w:rPr>
                <w:noProof/>
                <w:webHidden/>
              </w:rPr>
              <w:instrText xml:space="preserve"> PAGEREF _Toc67933699 \h </w:instrText>
            </w:r>
            <w:r w:rsidR="00C02490">
              <w:rPr>
                <w:noProof/>
                <w:webHidden/>
              </w:rPr>
            </w:r>
            <w:r w:rsidR="00C02490">
              <w:rPr>
                <w:noProof/>
                <w:webHidden/>
              </w:rPr>
              <w:fldChar w:fldCharType="separate"/>
            </w:r>
            <w:r w:rsidR="00C741DC">
              <w:rPr>
                <w:noProof/>
                <w:webHidden/>
              </w:rPr>
              <w:t>12</w:t>
            </w:r>
            <w:r w:rsidR="00C02490">
              <w:rPr>
                <w:noProof/>
                <w:webHidden/>
              </w:rPr>
              <w:fldChar w:fldCharType="end"/>
            </w:r>
          </w:hyperlink>
        </w:p>
        <w:p w14:paraId="73A13003" w14:textId="77E9C992" w:rsidR="00C02490" w:rsidRDefault="00745132">
          <w:pPr>
            <w:pStyle w:val="TOC1"/>
            <w:tabs>
              <w:tab w:val="right" w:leader="dot" w:pos="9628"/>
            </w:tabs>
            <w:rPr>
              <w:rFonts w:asciiTheme="minorHAnsi" w:eastAsiaTheme="minorEastAsia" w:hAnsiTheme="minorHAnsi"/>
              <w:b w:val="0"/>
              <w:bCs w:val="0"/>
              <w:i w:val="0"/>
              <w:iCs w:val="0"/>
              <w:noProof/>
              <w:sz w:val="22"/>
              <w:szCs w:val="22"/>
              <w:lang w:val="en-AU" w:eastAsia="en-AU"/>
            </w:rPr>
          </w:pPr>
          <w:hyperlink w:anchor="_Toc67933700" w:history="1">
            <w:r w:rsidR="00C02490" w:rsidRPr="00F01773">
              <w:rPr>
                <w:rStyle w:val="Hyperlink"/>
                <w:noProof/>
              </w:rPr>
              <w:t>All CDC Program Areas</w:t>
            </w:r>
            <w:r w:rsidR="00C02490">
              <w:rPr>
                <w:noProof/>
                <w:webHidden/>
              </w:rPr>
              <w:tab/>
            </w:r>
            <w:r w:rsidR="00C02490">
              <w:rPr>
                <w:noProof/>
                <w:webHidden/>
              </w:rPr>
              <w:fldChar w:fldCharType="begin"/>
            </w:r>
            <w:r w:rsidR="00C02490">
              <w:rPr>
                <w:noProof/>
                <w:webHidden/>
              </w:rPr>
              <w:instrText xml:space="preserve"> PAGEREF _Toc67933700 \h </w:instrText>
            </w:r>
            <w:r w:rsidR="00C02490">
              <w:rPr>
                <w:noProof/>
                <w:webHidden/>
              </w:rPr>
            </w:r>
            <w:r w:rsidR="00C02490">
              <w:rPr>
                <w:noProof/>
                <w:webHidden/>
              </w:rPr>
              <w:fldChar w:fldCharType="separate"/>
            </w:r>
            <w:r w:rsidR="00C741DC">
              <w:rPr>
                <w:noProof/>
                <w:webHidden/>
              </w:rPr>
              <w:t>12</w:t>
            </w:r>
            <w:r w:rsidR="00C02490">
              <w:rPr>
                <w:noProof/>
                <w:webHidden/>
              </w:rPr>
              <w:fldChar w:fldCharType="end"/>
            </w:r>
          </w:hyperlink>
        </w:p>
        <w:p w14:paraId="09BBD98E" w14:textId="5C82FA07"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701" w:history="1">
            <w:r w:rsidR="00C02490" w:rsidRPr="00F01773">
              <w:rPr>
                <w:rStyle w:val="Hyperlink"/>
                <w:noProof/>
              </w:rPr>
              <w:t>Voluntary participation</w:t>
            </w:r>
            <w:r w:rsidR="00C02490">
              <w:rPr>
                <w:noProof/>
                <w:webHidden/>
              </w:rPr>
              <w:tab/>
            </w:r>
            <w:r w:rsidR="00C02490">
              <w:rPr>
                <w:noProof/>
                <w:webHidden/>
              </w:rPr>
              <w:fldChar w:fldCharType="begin"/>
            </w:r>
            <w:r w:rsidR="00C02490">
              <w:rPr>
                <w:noProof/>
                <w:webHidden/>
              </w:rPr>
              <w:instrText xml:space="preserve"> PAGEREF _Toc67933701 \h </w:instrText>
            </w:r>
            <w:r w:rsidR="00C02490">
              <w:rPr>
                <w:noProof/>
                <w:webHidden/>
              </w:rPr>
            </w:r>
            <w:r w:rsidR="00C02490">
              <w:rPr>
                <w:noProof/>
                <w:webHidden/>
              </w:rPr>
              <w:fldChar w:fldCharType="separate"/>
            </w:r>
            <w:r w:rsidR="00C741DC">
              <w:rPr>
                <w:noProof/>
                <w:webHidden/>
              </w:rPr>
              <w:t>12</w:t>
            </w:r>
            <w:r w:rsidR="00C02490">
              <w:rPr>
                <w:noProof/>
                <w:webHidden/>
              </w:rPr>
              <w:fldChar w:fldCharType="end"/>
            </w:r>
          </w:hyperlink>
        </w:p>
        <w:p w14:paraId="0695D6CF" w14:textId="5DED5428"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02"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Requests</w:t>
            </w:r>
            <w:r w:rsidR="00C02490">
              <w:rPr>
                <w:noProof/>
                <w:webHidden/>
              </w:rPr>
              <w:tab/>
            </w:r>
            <w:r w:rsidR="00C02490">
              <w:rPr>
                <w:noProof/>
                <w:webHidden/>
              </w:rPr>
              <w:fldChar w:fldCharType="begin"/>
            </w:r>
            <w:r w:rsidR="00C02490">
              <w:rPr>
                <w:noProof/>
                <w:webHidden/>
              </w:rPr>
              <w:instrText xml:space="preserve"> PAGEREF _Toc67933702 \h </w:instrText>
            </w:r>
            <w:r w:rsidR="00C02490">
              <w:rPr>
                <w:noProof/>
                <w:webHidden/>
              </w:rPr>
            </w:r>
            <w:r w:rsidR="00C02490">
              <w:rPr>
                <w:noProof/>
                <w:webHidden/>
              </w:rPr>
              <w:fldChar w:fldCharType="separate"/>
            </w:r>
            <w:r w:rsidR="00C741DC">
              <w:rPr>
                <w:noProof/>
                <w:webHidden/>
              </w:rPr>
              <w:t>12</w:t>
            </w:r>
            <w:r w:rsidR="00C02490">
              <w:rPr>
                <w:noProof/>
                <w:webHidden/>
              </w:rPr>
              <w:fldChar w:fldCharType="end"/>
            </w:r>
          </w:hyperlink>
        </w:p>
        <w:p w14:paraId="3D5E7BD8" w14:textId="60474FB5"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03"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Withdrawing from voluntary participation</w:t>
            </w:r>
            <w:r w:rsidR="00C02490">
              <w:rPr>
                <w:noProof/>
                <w:webHidden/>
              </w:rPr>
              <w:tab/>
            </w:r>
            <w:r w:rsidR="00C02490">
              <w:rPr>
                <w:noProof/>
                <w:webHidden/>
              </w:rPr>
              <w:fldChar w:fldCharType="begin"/>
            </w:r>
            <w:r w:rsidR="00C02490">
              <w:rPr>
                <w:noProof/>
                <w:webHidden/>
              </w:rPr>
              <w:instrText xml:space="preserve"> PAGEREF _Toc67933703 \h </w:instrText>
            </w:r>
            <w:r w:rsidR="00C02490">
              <w:rPr>
                <w:noProof/>
                <w:webHidden/>
              </w:rPr>
            </w:r>
            <w:r w:rsidR="00C02490">
              <w:rPr>
                <w:noProof/>
                <w:webHidden/>
              </w:rPr>
              <w:fldChar w:fldCharType="separate"/>
            </w:r>
            <w:r w:rsidR="00C741DC">
              <w:rPr>
                <w:noProof/>
                <w:webHidden/>
              </w:rPr>
              <w:t>12</w:t>
            </w:r>
            <w:r w:rsidR="00C02490">
              <w:rPr>
                <w:noProof/>
                <w:webHidden/>
              </w:rPr>
              <w:fldChar w:fldCharType="end"/>
            </w:r>
          </w:hyperlink>
        </w:p>
        <w:p w14:paraId="6CC1F398" w14:textId="179881C1"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04"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Secretary’s discretion</w:t>
            </w:r>
            <w:r w:rsidR="00C02490">
              <w:rPr>
                <w:noProof/>
                <w:webHidden/>
              </w:rPr>
              <w:tab/>
            </w:r>
            <w:r w:rsidR="00C02490">
              <w:rPr>
                <w:noProof/>
                <w:webHidden/>
              </w:rPr>
              <w:fldChar w:fldCharType="begin"/>
            </w:r>
            <w:r w:rsidR="00C02490">
              <w:rPr>
                <w:noProof/>
                <w:webHidden/>
              </w:rPr>
              <w:instrText xml:space="preserve"> PAGEREF _Toc67933704 \h </w:instrText>
            </w:r>
            <w:r w:rsidR="00C02490">
              <w:rPr>
                <w:noProof/>
                <w:webHidden/>
              </w:rPr>
            </w:r>
            <w:r w:rsidR="00C02490">
              <w:rPr>
                <w:noProof/>
                <w:webHidden/>
              </w:rPr>
              <w:fldChar w:fldCharType="separate"/>
            </w:r>
            <w:r w:rsidR="00C741DC">
              <w:rPr>
                <w:noProof/>
                <w:webHidden/>
              </w:rPr>
              <w:t>12</w:t>
            </w:r>
            <w:r w:rsidR="00C02490">
              <w:rPr>
                <w:noProof/>
                <w:webHidden/>
              </w:rPr>
              <w:fldChar w:fldCharType="end"/>
            </w:r>
          </w:hyperlink>
        </w:p>
        <w:p w14:paraId="67AAFE29" w14:textId="045AB895"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705" w:history="1">
            <w:r w:rsidR="00C02490" w:rsidRPr="00F01773">
              <w:rPr>
                <w:rStyle w:val="Hyperlink"/>
                <w:noProof/>
              </w:rPr>
              <w:t>Exemptions from compulsory participation</w:t>
            </w:r>
            <w:r w:rsidR="00C02490">
              <w:rPr>
                <w:noProof/>
                <w:webHidden/>
              </w:rPr>
              <w:tab/>
            </w:r>
            <w:r w:rsidR="00C02490">
              <w:rPr>
                <w:noProof/>
                <w:webHidden/>
              </w:rPr>
              <w:fldChar w:fldCharType="begin"/>
            </w:r>
            <w:r w:rsidR="00C02490">
              <w:rPr>
                <w:noProof/>
                <w:webHidden/>
              </w:rPr>
              <w:instrText xml:space="preserve"> PAGEREF _Toc67933705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25E5531F" w14:textId="573F0BE0"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06"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Wellbeing risk</w:t>
            </w:r>
            <w:r w:rsidR="00C02490">
              <w:rPr>
                <w:noProof/>
                <w:webHidden/>
              </w:rPr>
              <w:tab/>
            </w:r>
            <w:r w:rsidR="00C02490">
              <w:rPr>
                <w:noProof/>
                <w:webHidden/>
              </w:rPr>
              <w:fldChar w:fldCharType="begin"/>
            </w:r>
            <w:r w:rsidR="00C02490">
              <w:rPr>
                <w:noProof/>
                <w:webHidden/>
              </w:rPr>
              <w:instrText xml:space="preserve"> PAGEREF _Toc67933706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69B29923" w14:textId="21CE367F"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07"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Exemptions may be revoked</w:t>
            </w:r>
            <w:r w:rsidR="00C02490">
              <w:rPr>
                <w:noProof/>
                <w:webHidden/>
              </w:rPr>
              <w:tab/>
            </w:r>
            <w:r w:rsidR="00C02490">
              <w:rPr>
                <w:noProof/>
                <w:webHidden/>
              </w:rPr>
              <w:fldChar w:fldCharType="begin"/>
            </w:r>
            <w:r w:rsidR="00C02490">
              <w:rPr>
                <w:noProof/>
                <w:webHidden/>
              </w:rPr>
              <w:instrText xml:space="preserve"> PAGEREF _Toc67933707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03A9BB7F" w14:textId="40AC1141"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08"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Appeal rights</w:t>
            </w:r>
            <w:r w:rsidR="00C02490">
              <w:rPr>
                <w:noProof/>
                <w:webHidden/>
              </w:rPr>
              <w:tab/>
            </w:r>
            <w:r w:rsidR="00C02490">
              <w:rPr>
                <w:noProof/>
                <w:webHidden/>
              </w:rPr>
              <w:fldChar w:fldCharType="begin"/>
            </w:r>
            <w:r w:rsidR="00C02490">
              <w:rPr>
                <w:noProof/>
                <w:webHidden/>
              </w:rPr>
              <w:instrText xml:space="preserve"> PAGEREF _Toc67933708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218A9A35" w14:textId="4D745004"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709" w:history="1">
            <w:r w:rsidR="00C02490" w:rsidRPr="00F01773">
              <w:rPr>
                <w:rStyle w:val="Hyperlink"/>
                <w:noProof/>
              </w:rPr>
              <w:t>Exit applications</w:t>
            </w:r>
            <w:r w:rsidR="00C02490">
              <w:rPr>
                <w:noProof/>
                <w:webHidden/>
              </w:rPr>
              <w:tab/>
            </w:r>
            <w:r w:rsidR="00C02490">
              <w:rPr>
                <w:noProof/>
                <w:webHidden/>
              </w:rPr>
              <w:fldChar w:fldCharType="begin"/>
            </w:r>
            <w:r w:rsidR="00C02490">
              <w:rPr>
                <w:noProof/>
                <w:webHidden/>
              </w:rPr>
              <w:instrText xml:space="preserve"> PAGEREF _Toc67933709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5D4A9707" w14:textId="4EB7572D"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0"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“Reasonable and responsible management of affairs”</w:t>
            </w:r>
            <w:r w:rsidR="00C02490">
              <w:rPr>
                <w:noProof/>
                <w:webHidden/>
              </w:rPr>
              <w:tab/>
            </w:r>
            <w:r w:rsidR="00C02490">
              <w:rPr>
                <w:noProof/>
                <w:webHidden/>
              </w:rPr>
              <w:fldChar w:fldCharType="begin"/>
            </w:r>
            <w:r w:rsidR="00C02490">
              <w:rPr>
                <w:noProof/>
                <w:webHidden/>
              </w:rPr>
              <w:instrText xml:space="preserve"> PAGEREF _Toc67933710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1190D517" w14:textId="6A75322E"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1"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Form of application</w:t>
            </w:r>
            <w:r w:rsidR="00C02490">
              <w:rPr>
                <w:noProof/>
                <w:webHidden/>
              </w:rPr>
              <w:tab/>
            </w:r>
            <w:r w:rsidR="00C02490">
              <w:rPr>
                <w:noProof/>
                <w:webHidden/>
              </w:rPr>
              <w:fldChar w:fldCharType="begin"/>
            </w:r>
            <w:r w:rsidR="00C02490">
              <w:rPr>
                <w:noProof/>
                <w:webHidden/>
              </w:rPr>
              <w:instrText xml:space="preserve"> PAGEREF _Toc67933711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7C4B9C42" w14:textId="4ECB5D35"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2"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Ministerial guidelines</w:t>
            </w:r>
            <w:r w:rsidR="00C02490">
              <w:rPr>
                <w:noProof/>
                <w:webHidden/>
              </w:rPr>
              <w:tab/>
            </w:r>
            <w:r w:rsidR="00C02490">
              <w:rPr>
                <w:noProof/>
                <w:webHidden/>
              </w:rPr>
              <w:fldChar w:fldCharType="begin"/>
            </w:r>
            <w:r w:rsidR="00C02490">
              <w:rPr>
                <w:noProof/>
                <w:webHidden/>
              </w:rPr>
              <w:instrText xml:space="preserve"> PAGEREF _Toc67933712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7BB6860F" w14:textId="6AA25F12"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3"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Exit criteria</w:t>
            </w:r>
            <w:r w:rsidR="00C02490">
              <w:rPr>
                <w:noProof/>
                <w:webHidden/>
              </w:rPr>
              <w:tab/>
            </w:r>
            <w:r w:rsidR="00C02490">
              <w:rPr>
                <w:noProof/>
                <w:webHidden/>
              </w:rPr>
              <w:fldChar w:fldCharType="begin"/>
            </w:r>
            <w:r w:rsidR="00C02490">
              <w:rPr>
                <w:noProof/>
                <w:webHidden/>
              </w:rPr>
              <w:instrText xml:space="preserve"> PAGEREF _Toc67933713 \h </w:instrText>
            </w:r>
            <w:r w:rsidR="00C02490">
              <w:rPr>
                <w:noProof/>
                <w:webHidden/>
              </w:rPr>
            </w:r>
            <w:r w:rsidR="00C02490">
              <w:rPr>
                <w:noProof/>
                <w:webHidden/>
              </w:rPr>
              <w:fldChar w:fldCharType="separate"/>
            </w:r>
            <w:r w:rsidR="00C741DC">
              <w:rPr>
                <w:noProof/>
                <w:webHidden/>
              </w:rPr>
              <w:t>13</w:t>
            </w:r>
            <w:r w:rsidR="00C02490">
              <w:rPr>
                <w:noProof/>
                <w:webHidden/>
              </w:rPr>
              <w:fldChar w:fldCharType="end"/>
            </w:r>
          </w:hyperlink>
        </w:p>
        <w:p w14:paraId="2441F7D8" w14:textId="3E0575EA"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4"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Notices</w:t>
            </w:r>
            <w:r w:rsidR="00C02490">
              <w:rPr>
                <w:noProof/>
                <w:webHidden/>
              </w:rPr>
              <w:tab/>
            </w:r>
            <w:r w:rsidR="00C02490">
              <w:rPr>
                <w:noProof/>
                <w:webHidden/>
              </w:rPr>
              <w:fldChar w:fldCharType="begin"/>
            </w:r>
            <w:r w:rsidR="00C02490">
              <w:rPr>
                <w:noProof/>
                <w:webHidden/>
              </w:rPr>
              <w:instrText xml:space="preserve"> PAGEREF _Toc67933714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11CDDFD4" w14:textId="19F8D82A"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5"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Deemed approvals</w:t>
            </w:r>
            <w:r w:rsidR="00C02490">
              <w:rPr>
                <w:noProof/>
                <w:webHidden/>
              </w:rPr>
              <w:tab/>
            </w:r>
            <w:r w:rsidR="00C02490">
              <w:rPr>
                <w:noProof/>
                <w:webHidden/>
              </w:rPr>
              <w:fldChar w:fldCharType="begin"/>
            </w:r>
            <w:r w:rsidR="00C02490">
              <w:rPr>
                <w:noProof/>
                <w:webHidden/>
              </w:rPr>
              <w:instrText xml:space="preserve"> PAGEREF _Toc67933715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221090FF" w14:textId="0B1AA83E"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6"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Appeal rights</w:t>
            </w:r>
            <w:r w:rsidR="00C02490">
              <w:rPr>
                <w:noProof/>
                <w:webHidden/>
              </w:rPr>
              <w:tab/>
            </w:r>
            <w:r w:rsidR="00C02490">
              <w:rPr>
                <w:noProof/>
                <w:webHidden/>
              </w:rPr>
              <w:fldChar w:fldCharType="begin"/>
            </w:r>
            <w:r w:rsidR="00C02490">
              <w:rPr>
                <w:noProof/>
                <w:webHidden/>
              </w:rPr>
              <w:instrText xml:space="preserve"> PAGEREF _Toc67933716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70975D53" w14:textId="73D67E1E"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717" w:history="1">
            <w:r w:rsidR="00C02490" w:rsidRPr="00F01773">
              <w:rPr>
                <w:rStyle w:val="Hyperlink"/>
                <w:noProof/>
              </w:rPr>
              <w:t>Reconsideration of exit determinations</w:t>
            </w:r>
            <w:r w:rsidR="00C02490">
              <w:rPr>
                <w:noProof/>
                <w:webHidden/>
              </w:rPr>
              <w:tab/>
            </w:r>
            <w:r w:rsidR="00C02490">
              <w:rPr>
                <w:noProof/>
                <w:webHidden/>
              </w:rPr>
              <w:fldChar w:fldCharType="begin"/>
            </w:r>
            <w:r w:rsidR="00C02490">
              <w:rPr>
                <w:noProof/>
                <w:webHidden/>
              </w:rPr>
              <w:instrText xml:space="preserve"> PAGEREF _Toc67933717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79E43F6C" w14:textId="57FA1C1B"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8"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Reversal of exit approvals</w:t>
            </w:r>
            <w:r w:rsidR="00C02490">
              <w:rPr>
                <w:noProof/>
                <w:webHidden/>
              </w:rPr>
              <w:tab/>
            </w:r>
            <w:r w:rsidR="00C02490">
              <w:rPr>
                <w:noProof/>
                <w:webHidden/>
              </w:rPr>
              <w:fldChar w:fldCharType="begin"/>
            </w:r>
            <w:r w:rsidR="00C02490">
              <w:rPr>
                <w:noProof/>
                <w:webHidden/>
              </w:rPr>
              <w:instrText xml:space="preserve"> PAGEREF _Toc67933718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4461FF41" w14:textId="146C0FC7"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19"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Person may reapply to exit</w:t>
            </w:r>
            <w:r w:rsidR="00C02490">
              <w:rPr>
                <w:noProof/>
                <w:webHidden/>
              </w:rPr>
              <w:tab/>
            </w:r>
            <w:r w:rsidR="00C02490">
              <w:rPr>
                <w:noProof/>
                <w:webHidden/>
              </w:rPr>
              <w:fldChar w:fldCharType="begin"/>
            </w:r>
            <w:r w:rsidR="00C02490">
              <w:rPr>
                <w:noProof/>
                <w:webHidden/>
              </w:rPr>
              <w:instrText xml:space="preserve"> PAGEREF _Toc67933719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7E8A458A" w14:textId="49009DDA"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720" w:history="1">
            <w:r w:rsidR="00C02490" w:rsidRPr="00F01773">
              <w:rPr>
                <w:rStyle w:val="Hyperlink"/>
                <w:noProof/>
              </w:rPr>
              <w:t>Unrestricted access - tech issues, natural disaster, national emergency, financial hardship</w:t>
            </w:r>
            <w:r w:rsidR="00C02490">
              <w:rPr>
                <w:noProof/>
                <w:webHidden/>
              </w:rPr>
              <w:tab/>
            </w:r>
            <w:r w:rsidR="00C02490">
              <w:rPr>
                <w:noProof/>
                <w:webHidden/>
              </w:rPr>
              <w:fldChar w:fldCharType="begin"/>
            </w:r>
            <w:r w:rsidR="00C02490">
              <w:rPr>
                <w:noProof/>
                <w:webHidden/>
              </w:rPr>
              <w:instrText xml:space="preserve"> PAGEREF _Toc67933720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199AB2AD" w14:textId="2574988A"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21"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Card use issues</w:t>
            </w:r>
            <w:r w:rsidR="00C02490">
              <w:rPr>
                <w:noProof/>
                <w:webHidden/>
              </w:rPr>
              <w:tab/>
            </w:r>
            <w:r w:rsidR="00C02490">
              <w:rPr>
                <w:noProof/>
                <w:webHidden/>
              </w:rPr>
              <w:fldChar w:fldCharType="begin"/>
            </w:r>
            <w:r w:rsidR="00C02490">
              <w:rPr>
                <w:noProof/>
                <w:webHidden/>
              </w:rPr>
              <w:instrText xml:space="preserve"> PAGEREF _Toc67933721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5EC54DEB" w14:textId="4F7666F5"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22"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Financial hardship</w:t>
            </w:r>
            <w:r w:rsidR="00C02490">
              <w:rPr>
                <w:noProof/>
                <w:webHidden/>
              </w:rPr>
              <w:tab/>
            </w:r>
            <w:r w:rsidR="00C02490">
              <w:rPr>
                <w:noProof/>
                <w:webHidden/>
              </w:rPr>
              <w:fldChar w:fldCharType="begin"/>
            </w:r>
            <w:r w:rsidR="00C02490">
              <w:rPr>
                <w:noProof/>
                <w:webHidden/>
              </w:rPr>
              <w:instrText xml:space="preserve"> PAGEREF _Toc67933722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524B1D9E" w14:textId="3CE70C41" w:rsidR="00C02490" w:rsidRDefault="00745132">
          <w:pPr>
            <w:pStyle w:val="TOC3"/>
            <w:tabs>
              <w:tab w:val="right" w:leader="dot" w:pos="9628"/>
            </w:tabs>
            <w:rPr>
              <w:rFonts w:asciiTheme="minorHAnsi" w:eastAsiaTheme="minorEastAsia" w:hAnsiTheme="minorHAnsi"/>
              <w:noProof/>
              <w:szCs w:val="22"/>
              <w:lang w:val="en-AU" w:eastAsia="en-AU"/>
            </w:rPr>
          </w:pPr>
          <w:hyperlink w:anchor="_Toc67933723" w:history="1">
            <w:r w:rsidR="00C02490" w:rsidRPr="00F01773">
              <w:rPr>
                <w:rStyle w:val="Hyperlink"/>
                <w:noProof/>
              </w:rPr>
              <w:t>% adjustments as a result of directions by community body</w:t>
            </w:r>
            <w:r w:rsidR="00C02490">
              <w:rPr>
                <w:noProof/>
                <w:webHidden/>
              </w:rPr>
              <w:tab/>
            </w:r>
            <w:r w:rsidR="00C02490">
              <w:rPr>
                <w:noProof/>
                <w:webHidden/>
              </w:rPr>
              <w:fldChar w:fldCharType="begin"/>
            </w:r>
            <w:r w:rsidR="00C02490">
              <w:rPr>
                <w:noProof/>
                <w:webHidden/>
              </w:rPr>
              <w:instrText xml:space="preserve"> PAGEREF _Toc67933723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26BC09CC" w14:textId="280F8326"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24"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Community body directions</w:t>
            </w:r>
            <w:r w:rsidR="00C02490">
              <w:rPr>
                <w:noProof/>
                <w:webHidden/>
              </w:rPr>
              <w:tab/>
            </w:r>
            <w:r w:rsidR="00C02490">
              <w:rPr>
                <w:noProof/>
                <w:webHidden/>
              </w:rPr>
              <w:fldChar w:fldCharType="begin"/>
            </w:r>
            <w:r w:rsidR="00C02490">
              <w:rPr>
                <w:noProof/>
                <w:webHidden/>
              </w:rPr>
              <w:instrText xml:space="preserve"> PAGEREF _Toc67933724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16D090F5" w14:textId="528EF1F9" w:rsidR="00C02490" w:rsidRDefault="00745132">
          <w:pPr>
            <w:pStyle w:val="TOC5"/>
            <w:tabs>
              <w:tab w:val="left" w:pos="1320"/>
              <w:tab w:val="right" w:leader="dot" w:pos="9628"/>
            </w:tabs>
            <w:rPr>
              <w:rFonts w:asciiTheme="minorHAnsi" w:eastAsiaTheme="minorEastAsia" w:hAnsiTheme="minorHAnsi"/>
              <w:noProof/>
              <w:sz w:val="22"/>
              <w:szCs w:val="22"/>
              <w:lang w:val="en-AU" w:eastAsia="en-AU"/>
            </w:rPr>
          </w:pPr>
          <w:hyperlink w:anchor="_Toc67933725" w:history="1">
            <w:r w:rsidR="00C02490" w:rsidRPr="00F01773">
              <w:rPr>
                <w:rStyle w:val="Hyperlink"/>
                <w:rFonts w:ascii="Wingdings" w:hAnsi="Wingdings"/>
                <w:noProof/>
              </w:rPr>
              <w:t></w:t>
            </w:r>
            <w:r w:rsidR="00C02490">
              <w:rPr>
                <w:rFonts w:asciiTheme="minorHAnsi" w:eastAsiaTheme="minorEastAsia" w:hAnsiTheme="minorHAnsi"/>
                <w:noProof/>
                <w:sz w:val="22"/>
                <w:szCs w:val="22"/>
                <w:lang w:val="en-AU" w:eastAsia="en-AU"/>
              </w:rPr>
              <w:tab/>
            </w:r>
            <w:r w:rsidR="00C02490" w:rsidRPr="00F01773">
              <w:rPr>
                <w:rStyle w:val="Hyperlink"/>
                <w:noProof/>
              </w:rPr>
              <w:t>% range</w:t>
            </w:r>
            <w:r w:rsidR="00C02490">
              <w:rPr>
                <w:noProof/>
                <w:webHidden/>
              </w:rPr>
              <w:tab/>
            </w:r>
            <w:r w:rsidR="00C02490">
              <w:rPr>
                <w:noProof/>
                <w:webHidden/>
              </w:rPr>
              <w:fldChar w:fldCharType="begin"/>
            </w:r>
            <w:r w:rsidR="00C02490">
              <w:rPr>
                <w:noProof/>
                <w:webHidden/>
              </w:rPr>
              <w:instrText xml:space="preserve"> PAGEREF _Toc67933725 \h </w:instrText>
            </w:r>
            <w:r w:rsidR="00C02490">
              <w:rPr>
                <w:noProof/>
                <w:webHidden/>
              </w:rPr>
            </w:r>
            <w:r w:rsidR="00C02490">
              <w:rPr>
                <w:noProof/>
                <w:webHidden/>
              </w:rPr>
              <w:fldChar w:fldCharType="separate"/>
            </w:r>
            <w:r w:rsidR="00C741DC">
              <w:rPr>
                <w:noProof/>
                <w:webHidden/>
              </w:rPr>
              <w:t>14</w:t>
            </w:r>
            <w:r w:rsidR="00C02490">
              <w:rPr>
                <w:noProof/>
                <w:webHidden/>
              </w:rPr>
              <w:fldChar w:fldCharType="end"/>
            </w:r>
          </w:hyperlink>
        </w:p>
        <w:p w14:paraId="5A55C32C" w14:textId="77777777" w:rsidR="00E51225" w:rsidRPr="00E51225" w:rsidRDefault="00542F88">
          <w:pPr>
            <w:rPr>
              <w:sz w:val="24"/>
            </w:rPr>
          </w:pPr>
          <w:r>
            <w:rPr>
              <w:rFonts w:eastAsiaTheme="minorHAnsi" w:cstheme="minorBidi"/>
              <w:sz w:val="28"/>
              <w:szCs w:val="24"/>
              <w:lang w:val="en-US" w:eastAsia="en-US"/>
            </w:rPr>
            <w:fldChar w:fldCharType="end"/>
          </w:r>
        </w:p>
      </w:sdtContent>
    </w:sdt>
    <w:p w14:paraId="272D435B" w14:textId="77777777" w:rsidR="00E51225" w:rsidRDefault="00E51225">
      <w:pPr>
        <w:spacing w:after="160" w:line="259" w:lineRule="auto"/>
        <w:rPr>
          <w:rFonts w:eastAsiaTheme="majorEastAsia" w:cstheme="majorBidi"/>
        </w:rPr>
      </w:pPr>
      <w:r>
        <w:rPr>
          <w:rFonts w:eastAsiaTheme="majorEastAsia" w:cstheme="majorBidi"/>
        </w:rPr>
        <w:br w:type="page"/>
      </w:r>
    </w:p>
    <w:p w14:paraId="11FAAB7F" w14:textId="77777777" w:rsidR="003C24F8" w:rsidRPr="005C3A43" w:rsidRDefault="003C24F8" w:rsidP="003C24F8">
      <w:pPr>
        <w:pStyle w:val="Heading1"/>
      </w:pPr>
      <w:bookmarkStart w:id="1" w:name="_Toc67933673"/>
      <w:r w:rsidRPr="005C3A43">
        <w:lastRenderedPageBreak/>
        <w:t>Background to the CDC and Income Management programs</w:t>
      </w:r>
      <w:bookmarkEnd w:id="1"/>
    </w:p>
    <w:p w14:paraId="5891F489" w14:textId="07CECE71" w:rsidR="003C24F8" w:rsidRDefault="003C24F8" w:rsidP="003C24F8">
      <w:pPr>
        <w:jc w:val="both"/>
        <w:rPr>
          <w:rFonts w:eastAsiaTheme="majorEastAsia" w:cstheme="majorBidi"/>
        </w:rPr>
      </w:pPr>
      <w:r w:rsidRPr="00965B87">
        <w:rPr>
          <w:rFonts w:eastAsiaTheme="majorEastAsia" w:cstheme="majorBidi"/>
        </w:rPr>
        <w:t xml:space="preserve">Compulsory income quarantining </w:t>
      </w:r>
      <w:r>
        <w:rPr>
          <w:rFonts w:eastAsiaTheme="majorEastAsia" w:cstheme="majorBidi"/>
        </w:rPr>
        <w:t xml:space="preserve">in Australia commenced </w:t>
      </w:r>
      <w:r w:rsidRPr="00965B87">
        <w:rPr>
          <w:rFonts w:eastAsiaTheme="majorEastAsia" w:cstheme="majorBidi"/>
        </w:rPr>
        <w:t>in 2007 as a measure targeting Aboriginal communities in the Northern Territory</w:t>
      </w:r>
      <w:r>
        <w:rPr>
          <w:rFonts w:eastAsiaTheme="majorEastAsia" w:cstheme="majorBidi"/>
        </w:rPr>
        <w:t>, as part of the</w:t>
      </w:r>
      <w:r w:rsidRPr="00965B87">
        <w:rPr>
          <w:rFonts w:eastAsiaTheme="majorEastAsia" w:cstheme="majorBidi"/>
        </w:rPr>
        <w:t xml:space="preserve"> Federal Government’s Intervention. It has since been increasingly used</w:t>
      </w:r>
      <w:r>
        <w:rPr>
          <w:rFonts w:eastAsiaTheme="majorEastAsia" w:cstheme="majorBidi"/>
        </w:rPr>
        <w:t xml:space="preserve"> in various formats</w:t>
      </w:r>
      <w:r w:rsidRPr="00965B87">
        <w:rPr>
          <w:rFonts w:eastAsiaTheme="majorEastAsia" w:cstheme="majorBidi"/>
        </w:rPr>
        <w:t xml:space="preserve"> by successive federal governments to micro-manage where and how people </w:t>
      </w:r>
      <w:r>
        <w:rPr>
          <w:rFonts w:eastAsiaTheme="majorEastAsia" w:cstheme="majorBidi"/>
        </w:rPr>
        <w:t>spend their</w:t>
      </w:r>
      <w:r w:rsidR="00141936">
        <w:rPr>
          <w:rFonts w:eastAsiaTheme="majorEastAsia" w:cstheme="majorBidi"/>
        </w:rPr>
        <w:t xml:space="preserve"> Centrelink entitlements</w:t>
      </w:r>
      <w:r w:rsidR="00A77F89">
        <w:rPr>
          <w:rFonts w:eastAsiaTheme="majorEastAsia" w:cstheme="majorBidi"/>
        </w:rPr>
        <w:t>.</w:t>
      </w:r>
      <w:r>
        <w:rPr>
          <w:rFonts w:eastAsiaTheme="majorEastAsia" w:cstheme="majorBidi"/>
        </w:rPr>
        <w:t xml:space="preserve"> </w:t>
      </w:r>
      <w:r w:rsidRPr="00965B87">
        <w:rPr>
          <w:rFonts w:eastAsiaTheme="majorEastAsia" w:cstheme="majorBidi"/>
        </w:rPr>
        <w:t xml:space="preserve">It involves limiting the </w:t>
      </w:r>
      <w:r>
        <w:rPr>
          <w:rFonts w:eastAsiaTheme="majorEastAsia" w:cstheme="majorBidi"/>
        </w:rPr>
        <w:t>percentage</w:t>
      </w:r>
      <w:r w:rsidRPr="00965B87">
        <w:rPr>
          <w:rFonts w:eastAsiaTheme="majorEastAsia" w:cstheme="majorBidi"/>
        </w:rPr>
        <w:t xml:space="preserve"> of </w:t>
      </w:r>
      <w:r>
        <w:rPr>
          <w:rFonts w:eastAsiaTheme="majorEastAsia" w:cstheme="majorBidi"/>
        </w:rPr>
        <w:t xml:space="preserve">specified Centrelink payments </w:t>
      </w:r>
      <w:r w:rsidRPr="00965B87">
        <w:rPr>
          <w:rFonts w:eastAsiaTheme="majorEastAsia" w:cstheme="majorBidi"/>
        </w:rPr>
        <w:t xml:space="preserve">a person </w:t>
      </w:r>
      <w:r>
        <w:rPr>
          <w:rFonts w:eastAsiaTheme="majorEastAsia" w:cstheme="majorBidi"/>
        </w:rPr>
        <w:t xml:space="preserve">may </w:t>
      </w:r>
      <w:r w:rsidRPr="00965B87">
        <w:rPr>
          <w:rFonts w:eastAsiaTheme="majorEastAsia" w:cstheme="majorBidi"/>
        </w:rPr>
        <w:t>receive as cash in their chosen bank account</w:t>
      </w:r>
      <w:r>
        <w:rPr>
          <w:rFonts w:eastAsiaTheme="majorEastAsia" w:cstheme="majorBidi"/>
        </w:rPr>
        <w:t xml:space="preserve">, with the balance </w:t>
      </w:r>
      <w:r w:rsidRPr="00965B87">
        <w:rPr>
          <w:rFonts w:eastAsiaTheme="majorEastAsia" w:cstheme="majorBidi"/>
        </w:rPr>
        <w:t>(generally between 50 and 80</w:t>
      </w:r>
      <w:r>
        <w:rPr>
          <w:rFonts w:eastAsiaTheme="majorEastAsia" w:cstheme="majorBidi"/>
        </w:rPr>
        <w:t>%</w:t>
      </w:r>
      <w:r w:rsidRPr="00965B87">
        <w:rPr>
          <w:rFonts w:eastAsiaTheme="majorEastAsia" w:cstheme="majorBidi"/>
        </w:rPr>
        <w:t>) quarantined</w:t>
      </w:r>
      <w:r>
        <w:rPr>
          <w:rFonts w:eastAsiaTheme="majorEastAsia" w:cstheme="majorBidi"/>
        </w:rPr>
        <w:t xml:space="preserve"> to a separate account. R</w:t>
      </w:r>
      <w:r w:rsidRPr="00965B87">
        <w:rPr>
          <w:rFonts w:eastAsiaTheme="majorEastAsia" w:cstheme="majorBidi"/>
        </w:rPr>
        <w:t xml:space="preserve">estrictions </w:t>
      </w:r>
      <w:r>
        <w:rPr>
          <w:rFonts w:eastAsiaTheme="majorEastAsia" w:cstheme="majorBidi"/>
        </w:rPr>
        <w:t xml:space="preserve">are </w:t>
      </w:r>
      <w:r w:rsidRPr="00965B87">
        <w:rPr>
          <w:rFonts w:eastAsiaTheme="majorEastAsia" w:cstheme="majorBidi"/>
        </w:rPr>
        <w:t xml:space="preserve">imposed on where and how </w:t>
      </w:r>
      <w:r>
        <w:rPr>
          <w:rFonts w:eastAsiaTheme="majorEastAsia" w:cstheme="majorBidi"/>
        </w:rPr>
        <w:t>the quarantined funds</w:t>
      </w:r>
      <w:r w:rsidRPr="00965B87">
        <w:rPr>
          <w:rFonts w:eastAsiaTheme="majorEastAsia" w:cstheme="majorBidi"/>
        </w:rPr>
        <w:t xml:space="preserve"> can be spent.</w:t>
      </w:r>
    </w:p>
    <w:p w14:paraId="725F1DF5" w14:textId="77777777" w:rsidR="003C24F8" w:rsidRDefault="003C24F8" w:rsidP="003C24F8">
      <w:pPr>
        <w:jc w:val="both"/>
        <w:rPr>
          <w:rFonts w:eastAsiaTheme="majorEastAsia" w:cstheme="majorBidi"/>
        </w:rPr>
      </w:pPr>
    </w:p>
    <w:p w14:paraId="460D3950" w14:textId="77777777" w:rsidR="003C24F8" w:rsidRDefault="003C24F8" w:rsidP="003C24F8">
      <w:pPr>
        <w:jc w:val="both"/>
        <w:rPr>
          <w:rFonts w:eastAsiaTheme="majorEastAsia" w:cstheme="majorBidi"/>
        </w:rPr>
      </w:pPr>
      <w:r>
        <w:rPr>
          <w:rFonts w:eastAsiaTheme="majorEastAsia" w:cstheme="majorBidi"/>
        </w:rPr>
        <w:t xml:space="preserve">Since its inception, compulsory income quarantining has disproportionately impacted Aboriginal and Torres Strait Islander people.  </w:t>
      </w:r>
    </w:p>
    <w:p w14:paraId="045C8EE7" w14:textId="77777777" w:rsidR="003C24F8" w:rsidRDefault="003C24F8" w:rsidP="003C24F8">
      <w:pPr>
        <w:jc w:val="both"/>
        <w:rPr>
          <w:rFonts w:eastAsiaTheme="majorEastAsia" w:cstheme="majorBidi"/>
        </w:rPr>
      </w:pPr>
    </w:p>
    <w:p w14:paraId="6DE2E96A" w14:textId="22145288" w:rsidR="003C24F8" w:rsidRDefault="003C24F8" w:rsidP="003C24F8">
      <w:pPr>
        <w:jc w:val="both"/>
        <w:rPr>
          <w:rFonts w:eastAsiaTheme="majorEastAsia" w:cstheme="majorBidi"/>
        </w:rPr>
      </w:pPr>
      <w:r>
        <w:rPr>
          <w:rFonts w:eastAsiaTheme="majorEastAsia" w:cstheme="majorBidi"/>
        </w:rPr>
        <w:t>Government rationale is that compulsory income quarantining is designed to reduce social harms associated with alcohol and other drug use, and gambling. However, multiple studies and evaluations have failed to find any conclusive evidence that compulsory income quarantining achieves this goal.</w:t>
      </w:r>
    </w:p>
    <w:p w14:paraId="00AEE481" w14:textId="77777777" w:rsidR="006E6B25" w:rsidRPr="009F49DF" w:rsidRDefault="006E6B25" w:rsidP="003C24F8">
      <w:pPr>
        <w:jc w:val="both"/>
        <w:rPr>
          <w:rFonts w:eastAsiaTheme="majorEastAsia" w:cstheme="majorBidi"/>
        </w:rPr>
      </w:pPr>
    </w:p>
    <w:p w14:paraId="35217BDF" w14:textId="77777777" w:rsidR="003C24F8" w:rsidRDefault="003C24F8" w:rsidP="003C24F8">
      <w:pPr>
        <w:jc w:val="both"/>
        <w:rPr>
          <w:rFonts w:eastAsiaTheme="majorEastAsia" w:cstheme="majorBidi"/>
        </w:rPr>
      </w:pPr>
      <w:r>
        <w:rPr>
          <w:rFonts w:eastAsiaTheme="majorEastAsia" w:cstheme="majorBidi"/>
        </w:rPr>
        <w:t xml:space="preserve">Compulsory income quarantining is currently imposed via two separate schemes: Income Management and Cashless Welfare. These schemes are more commonly known by reference to the debit cards associated with their operation – the BasicsCard is used to administer the Income Management scheme set out in Part 3B of the </w:t>
      </w:r>
      <w:r>
        <w:rPr>
          <w:rFonts w:eastAsiaTheme="majorEastAsia" w:cstheme="majorBidi"/>
          <w:i/>
          <w:iCs/>
        </w:rPr>
        <w:t xml:space="preserve">Social Security (Administration) Act 1999 </w:t>
      </w:r>
      <w:r>
        <w:rPr>
          <w:rFonts w:eastAsiaTheme="majorEastAsia" w:cstheme="majorBidi"/>
        </w:rPr>
        <w:t>(Cth); and the Cashless Debit Card (</w:t>
      </w:r>
      <w:r w:rsidRPr="007E4967">
        <w:rPr>
          <w:rFonts w:eastAsiaTheme="majorEastAsia" w:cstheme="majorBidi"/>
        </w:rPr>
        <w:t>CDC</w:t>
      </w:r>
      <w:r>
        <w:rPr>
          <w:rFonts w:eastAsiaTheme="majorEastAsia" w:cstheme="majorBidi"/>
        </w:rPr>
        <w:t xml:space="preserve">) </w:t>
      </w:r>
      <w:r w:rsidRPr="009F49DF">
        <w:rPr>
          <w:rFonts w:eastAsiaTheme="majorEastAsia" w:cstheme="majorBidi"/>
        </w:rPr>
        <w:t>is</w:t>
      </w:r>
      <w:r>
        <w:rPr>
          <w:rFonts w:eastAsiaTheme="majorEastAsia" w:cstheme="majorBidi"/>
        </w:rPr>
        <w:t xml:space="preserve"> used to administer the Cashless Welfare arrangements contained in Part 3D of that Act - referred to in this paper as the CDC program.</w:t>
      </w:r>
    </w:p>
    <w:p w14:paraId="6099F74C" w14:textId="77777777" w:rsidR="003C24F8" w:rsidRDefault="003C24F8" w:rsidP="003C24F8">
      <w:pPr>
        <w:jc w:val="both"/>
        <w:rPr>
          <w:rFonts w:eastAsiaTheme="majorEastAsia" w:cstheme="majorBidi"/>
        </w:rPr>
      </w:pPr>
    </w:p>
    <w:p w14:paraId="0DB0FDEC" w14:textId="77777777" w:rsidR="003C24F8" w:rsidRDefault="003C24F8" w:rsidP="003C24F8">
      <w:pPr>
        <w:jc w:val="both"/>
        <w:rPr>
          <w:rFonts w:eastAsiaTheme="majorEastAsia" w:cstheme="majorBidi"/>
        </w:rPr>
      </w:pPr>
      <w:r>
        <w:rPr>
          <w:rFonts w:eastAsiaTheme="majorEastAsia" w:cstheme="majorBidi"/>
        </w:rPr>
        <w:t>Both</w:t>
      </w:r>
      <w:r w:rsidRPr="006D2CD5">
        <w:rPr>
          <w:rFonts w:eastAsiaTheme="majorEastAsia" w:cstheme="majorBidi"/>
        </w:rPr>
        <w:t xml:space="preserve"> </w:t>
      </w:r>
      <w:r>
        <w:rPr>
          <w:rFonts w:eastAsiaTheme="majorEastAsia" w:cstheme="majorBidi"/>
        </w:rPr>
        <w:t>schemes operate by:</w:t>
      </w:r>
    </w:p>
    <w:p w14:paraId="5A09FC02" w14:textId="77777777" w:rsidR="003C24F8" w:rsidRDefault="003C24F8" w:rsidP="00643073">
      <w:pPr>
        <w:pStyle w:val="ListParagraph"/>
        <w:numPr>
          <w:ilvl w:val="0"/>
          <w:numId w:val="5"/>
        </w:numPr>
        <w:spacing w:after="160" w:line="259" w:lineRule="auto"/>
        <w:jc w:val="both"/>
        <w:rPr>
          <w:rFonts w:eastAsiaTheme="majorEastAsia" w:cstheme="majorBidi"/>
        </w:rPr>
      </w:pPr>
      <w:r w:rsidRPr="00404657">
        <w:rPr>
          <w:rFonts w:eastAsiaTheme="majorEastAsia" w:cstheme="majorBidi"/>
        </w:rPr>
        <w:t xml:space="preserve">limiting cash withdrawals of fortnightly </w:t>
      </w:r>
      <w:r>
        <w:rPr>
          <w:rFonts w:eastAsiaTheme="majorEastAsia" w:cstheme="majorBidi"/>
        </w:rPr>
        <w:t>Centrelink entitlements</w:t>
      </w:r>
      <w:r w:rsidRPr="00404657">
        <w:rPr>
          <w:rFonts w:eastAsiaTheme="majorEastAsia" w:cstheme="majorBidi"/>
        </w:rPr>
        <w:t xml:space="preserve"> to a </w:t>
      </w:r>
      <w:r>
        <w:rPr>
          <w:rFonts w:eastAsiaTheme="majorEastAsia" w:cstheme="majorBidi"/>
        </w:rPr>
        <w:t>specified</w:t>
      </w:r>
      <w:r w:rsidRPr="00404657">
        <w:rPr>
          <w:rFonts w:eastAsiaTheme="majorEastAsia" w:cstheme="majorBidi"/>
        </w:rPr>
        <w:t xml:space="preserve"> percentage</w:t>
      </w:r>
      <w:r>
        <w:rPr>
          <w:rFonts w:eastAsiaTheme="majorEastAsia" w:cstheme="majorBidi"/>
        </w:rPr>
        <w:t>; and</w:t>
      </w:r>
    </w:p>
    <w:p w14:paraId="4C15B82F" w14:textId="0E04ED5F" w:rsidR="003C24F8" w:rsidRDefault="006E6B25" w:rsidP="00643073">
      <w:pPr>
        <w:pStyle w:val="ListParagraph"/>
        <w:numPr>
          <w:ilvl w:val="0"/>
          <w:numId w:val="5"/>
        </w:numPr>
        <w:spacing w:after="160" w:line="259" w:lineRule="auto"/>
        <w:jc w:val="both"/>
        <w:rPr>
          <w:rFonts w:eastAsiaTheme="majorEastAsia" w:cstheme="majorBidi"/>
        </w:rPr>
      </w:pPr>
      <w:r>
        <w:rPr>
          <w:rFonts w:eastAsiaTheme="majorEastAsia" w:cstheme="majorBidi"/>
        </w:rPr>
        <w:t xml:space="preserve">restricting the use of </w:t>
      </w:r>
      <w:r w:rsidR="009E1104">
        <w:rPr>
          <w:rFonts w:eastAsiaTheme="majorEastAsia" w:cstheme="majorBidi"/>
        </w:rPr>
        <w:t xml:space="preserve">quarantined income </w:t>
      </w:r>
      <w:r w:rsidR="003C24F8" w:rsidRPr="00404657">
        <w:rPr>
          <w:rFonts w:eastAsiaTheme="majorEastAsia" w:cstheme="majorBidi"/>
        </w:rPr>
        <w:t xml:space="preserve"> to purchase excluded goods</w:t>
      </w:r>
      <w:r w:rsidR="003C24F8">
        <w:rPr>
          <w:rFonts w:eastAsiaTheme="majorEastAsia" w:cstheme="majorBidi"/>
        </w:rPr>
        <w:t xml:space="preserve"> such as alcohol</w:t>
      </w:r>
      <w:r w:rsidR="009E1104">
        <w:rPr>
          <w:rFonts w:eastAsiaTheme="majorEastAsia" w:cstheme="majorBidi"/>
        </w:rPr>
        <w:t>.</w:t>
      </w:r>
      <w:r w:rsidR="003C24F8" w:rsidRPr="00404657">
        <w:rPr>
          <w:rFonts w:eastAsiaTheme="majorEastAsia" w:cstheme="majorBidi"/>
        </w:rPr>
        <w:t xml:space="preserve"> </w:t>
      </w:r>
    </w:p>
    <w:p w14:paraId="7847CCA5" w14:textId="77777777" w:rsidR="003C24F8" w:rsidRDefault="003C24F8" w:rsidP="003C24F8">
      <w:pPr>
        <w:jc w:val="both"/>
        <w:rPr>
          <w:rFonts w:eastAsiaTheme="majorEastAsia" w:cstheme="majorBidi"/>
        </w:rPr>
      </w:pPr>
      <w:r>
        <w:rPr>
          <w:rFonts w:eastAsiaTheme="majorEastAsia" w:cstheme="majorBidi"/>
        </w:rPr>
        <w:t xml:space="preserve">The Income Management and CDC program card systems </w:t>
      </w:r>
      <w:r w:rsidRPr="00404657">
        <w:rPr>
          <w:rFonts w:eastAsiaTheme="majorEastAsia" w:cstheme="majorBidi"/>
        </w:rPr>
        <w:t xml:space="preserve">operate in different ways. Some differences in how </w:t>
      </w:r>
      <w:r>
        <w:rPr>
          <w:rFonts w:eastAsiaTheme="majorEastAsia" w:cstheme="majorBidi"/>
        </w:rPr>
        <w:t xml:space="preserve">the </w:t>
      </w:r>
      <w:r w:rsidRPr="00404657">
        <w:rPr>
          <w:rFonts w:eastAsiaTheme="majorEastAsia" w:cstheme="majorBidi"/>
        </w:rPr>
        <w:t>CDC and BasicsCard systems work are</w:t>
      </w:r>
      <w:r>
        <w:rPr>
          <w:rFonts w:eastAsiaTheme="majorEastAsia" w:cstheme="majorBidi"/>
        </w:rPr>
        <w:t xml:space="preserve"> the result of different legislation and policy decisions; </w:t>
      </w:r>
      <w:r w:rsidRPr="00404657">
        <w:rPr>
          <w:rFonts w:eastAsiaTheme="majorEastAsia" w:cstheme="majorBidi"/>
        </w:rPr>
        <w:t>others are the result of differences in technology.</w:t>
      </w:r>
    </w:p>
    <w:p w14:paraId="7582D385" w14:textId="77777777" w:rsidR="00B02DED" w:rsidRDefault="00B02DED" w:rsidP="003C24F8">
      <w:pPr>
        <w:jc w:val="both"/>
        <w:rPr>
          <w:rFonts w:eastAsiaTheme="majorEastAsia" w:cstheme="majorBidi"/>
        </w:rPr>
      </w:pPr>
    </w:p>
    <w:p w14:paraId="36F97FA4" w14:textId="77777777" w:rsidR="003C24F8" w:rsidRDefault="003C24F8" w:rsidP="003C24F8">
      <w:pPr>
        <w:jc w:val="both"/>
        <w:rPr>
          <w:rFonts w:eastAsiaTheme="majorEastAsia" w:cstheme="majorBidi"/>
        </w:rPr>
      </w:pPr>
      <w:r>
        <w:rPr>
          <w:rFonts w:eastAsiaTheme="majorEastAsia" w:cstheme="majorBidi"/>
        </w:rPr>
        <w:t>Both the CDC</w:t>
      </w:r>
      <w:r w:rsidRPr="00404657">
        <w:rPr>
          <w:rFonts w:eastAsiaTheme="majorEastAsia" w:cstheme="majorBidi"/>
        </w:rPr>
        <w:t xml:space="preserve"> and </w:t>
      </w:r>
      <w:r>
        <w:rPr>
          <w:rFonts w:eastAsiaTheme="majorEastAsia" w:cstheme="majorBidi"/>
        </w:rPr>
        <w:t xml:space="preserve">the </w:t>
      </w:r>
      <w:r w:rsidRPr="00404657">
        <w:rPr>
          <w:rFonts w:eastAsiaTheme="majorEastAsia" w:cstheme="majorBidi"/>
        </w:rPr>
        <w:t xml:space="preserve">BasicsCard are provided by </w:t>
      </w:r>
      <w:r>
        <w:rPr>
          <w:rFonts w:eastAsiaTheme="majorEastAsia" w:cstheme="majorBidi"/>
        </w:rPr>
        <w:t>the</w:t>
      </w:r>
      <w:r w:rsidRPr="00404657">
        <w:rPr>
          <w:rFonts w:eastAsiaTheme="majorEastAsia" w:cstheme="majorBidi"/>
        </w:rPr>
        <w:t xml:space="preserve"> </w:t>
      </w:r>
      <w:r>
        <w:rPr>
          <w:rFonts w:eastAsiaTheme="majorEastAsia" w:cstheme="majorBidi"/>
        </w:rPr>
        <w:t xml:space="preserve">same </w:t>
      </w:r>
      <w:r w:rsidRPr="00404657">
        <w:rPr>
          <w:rFonts w:eastAsiaTheme="majorEastAsia" w:cstheme="majorBidi"/>
        </w:rPr>
        <w:t>company</w:t>
      </w:r>
      <w:r>
        <w:rPr>
          <w:rFonts w:eastAsiaTheme="majorEastAsia" w:cstheme="majorBidi"/>
        </w:rPr>
        <w:t>,</w:t>
      </w:r>
      <w:r w:rsidRPr="00404657">
        <w:rPr>
          <w:rFonts w:eastAsiaTheme="majorEastAsia" w:cstheme="majorBidi"/>
        </w:rPr>
        <w:t xml:space="preserve"> </w:t>
      </w:r>
      <w:r>
        <w:rPr>
          <w:rFonts w:eastAsiaTheme="majorEastAsia" w:cstheme="majorBidi"/>
        </w:rPr>
        <w:t>Indue</w:t>
      </w:r>
      <w:r>
        <w:rPr>
          <w:rStyle w:val="FootnoteReference"/>
          <w:rFonts w:eastAsiaTheme="majorEastAsia" w:cstheme="majorBidi"/>
        </w:rPr>
        <w:footnoteReference w:id="1"/>
      </w:r>
      <w:r w:rsidR="00B02DED">
        <w:rPr>
          <w:rFonts w:eastAsiaTheme="majorEastAsia" w:cstheme="majorBidi"/>
        </w:rPr>
        <w:t>.</w:t>
      </w:r>
    </w:p>
    <w:p w14:paraId="1CA286D4" w14:textId="77777777" w:rsidR="00B02DED" w:rsidRPr="00404657" w:rsidRDefault="00B02DED" w:rsidP="003C24F8">
      <w:pPr>
        <w:jc w:val="both"/>
        <w:rPr>
          <w:rFonts w:eastAsiaTheme="majorEastAsia" w:cstheme="majorBidi"/>
        </w:rPr>
      </w:pPr>
    </w:p>
    <w:p w14:paraId="221B3B19" w14:textId="77777777" w:rsidR="003C24F8" w:rsidRPr="00215A24" w:rsidRDefault="003C24F8" w:rsidP="00B02DED">
      <w:pPr>
        <w:pStyle w:val="Heading3"/>
      </w:pPr>
      <w:bookmarkStart w:id="2" w:name="_Toc67933674"/>
      <w:r w:rsidRPr="005C3A43">
        <w:t xml:space="preserve">Income Management program </w:t>
      </w:r>
      <w:r w:rsidRPr="00215A24">
        <w:t>numbers</w:t>
      </w:r>
      <w:r w:rsidRPr="00215A24">
        <w:rPr>
          <w:rStyle w:val="FootnoteReference"/>
          <w:rFonts w:eastAsiaTheme="majorEastAsia" w:cstheme="majorBidi"/>
        </w:rPr>
        <w:footnoteReference w:id="2"/>
      </w:r>
      <w:bookmarkEnd w:id="2"/>
      <w:r w:rsidRPr="00215A24">
        <w:t xml:space="preserve"> </w:t>
      </w:r>
    </w:p>
    <w:p w14:paraId="09B6FDE2" w14:textId="77777777" w:rsidR="003C24F8" w:rsidRDefault="003C24F8" w:rsidP="003C24F8">
      <w:pPr>
        <w:jc w:val="both"/>
        <w:rPr>
          <w:rFonts w:eastAsiaTheme="majorEastAsia" w:cstheme="majorBidi"/>
        </w:rPr>
      </w:pPr>
      <w:r w:rsidRPr="006D2CD5">
        <w:rPr>
          <w:rFonts w:eastAsiaTheme="majorEastAsia" w:cstheme="majorBidi"/>
        </w:rPr>
        <w:t>The majorit</w:t>
      </w:r>
      <w:r>
        <w:rPr>
          <w:rFonts w:eastAsiaTheme="majorEastAsia" w:cstheme="majorBidi"/>
        </w:rPr>
        <w:t>y of people subject to I</w:t>
      </w:r>
      <w:r w:rsidRPr="006D2CD5">
        <w:rPr>
          <w:rFonts w:eastAsiaTheme="majorEastAsia" w:cstheme="majorBidi"/>
        </w:rPr>
        <w:t>n</w:t>
      </w:r>
      <w:r>
        <w:rPr>
          <w:rFonts w:eastAsiaTheme="majorEastAsia" w:cstheme="majorBidi"/>
        </w:rPr>
        <w:t>come M</w:t>
      </w:r>
      <w:r w:rsidRPr="006D2CD5">
        <w:rPr>
          <w:rFonts w:eastAsiaTheme="majorEastAsia" w:cstheme="majorBidi"/>
        </w:rPr>
        <w:t xml:space="preserve">anagement </w:t>
      </w:r>
      <w:r>
        <w:rPr>
          <w:rFonts w:eastAsiaTheme="majorEastAsia" w:cstheme="majorBidi"/>
        </w:rPr>
        <w:t xml:space="preserve">reside in the Northern Territory. </w:t>
      </w:r>
      <w:r w:rsidRPr="006D2CD5">
        <w:rPr>
          <w:rFonts w:eastAsiaTheme="majorEastAsia" w:cstheme="majorBidi"/>
        </w:rPr>
        <w:t>As at 4 September 2020 there were 24,718 income management participants with an active BasicsCard in the Northern Territory</w:t>
      </w:r>
      <w:r>
        <w:rPr>
          <w:rFonts w:eastAsiaTheme="majorEastAsia" w:cstheme="majorBidi"/>
        </w:rPr>
        <w:t>.</w:t>
      </w:r>
    </w:p>
    <w:p w14:paraId="4C368BBC" w14:textId="77777777" w:rsidR="00B02DED" w:rsidRDefault="00B02DED" w:rsidP="003C24F8">
      <w:pPr>
        <w:jc w:val="both"/>
        <w:rPr>
          <w:rFonts w:eastAsiaTheme="majorEastAsia" w:cstheme="majorBidi"/>
        </w:rPr>
      </w:pPr>
    </w:p>
    <w:p w14:paraId="639B93D2" w14:textId="77777777" w:rsidR="003C24F8" w:rsidRDefault="003C24F8" w:rsidP="003C24F8">
      <w:pPr>
        <w:jc w:val="both"/>
        <w:rPr>
          <w:rFonts w:eastAsiaTheme="majorEastAsia" w:cstheme="majorBidi"/>
        </w:rPr>
      </w:pPr>
      <w:r>
        <w:rPr>
          <w:rFonts w:eastAsiaTheme="majorEastAsia" w:cstheme="majorBidi"/>
        </w:rPr>
        <w:lastRenderedPageBreak/>
        <w:t>There are a</w:t>
      </w:r>
      <w:r w:rsidRPr="009C33C0">
        <w:rPr>
          <w:rFonts w:eastAsiaTheme="majorEastAsia" w:cstheme="majorBidi"/>
        </w:rPr>
        <w:t xml:space="preserve">pproximately 150 </w:t>
      </w:r>
      <w:r>
        <w:rPr>
          <w:rFonts w:eastAsiaTheme="majorEastAsia" w:cstheme="majorBidi"/>
        </w:rPr>
        <w:t xml:space="preserve">people subject to </w:t>
      </w:r>
      <w:r w:rsidRPr="009C33C0">
        <w:rPr>
          <w:rFonts w:eastAsiaTheme="majorEastAsia" w:cstheme="majorBidi"/>
        </w:rPr>
        <w:t>I</w:t>
      </w:r>
      <w:r>
        <w:rPr>
          <w:rFonts w:eastAsiaTheme="majorEastAsia" w:cstheme="majorBidi"/>
        </w:rPr>
        <w:t>ncome Management</w:t>
      </w:r>
      <w:r w:rsidRPr="009C33C0">
        <w:rPr>
          <w:rFonts w:eastAsiaTheme="majorEastAsia" w:cstheme="majorBidi"/>
        </w:rPr>
        <w:t xml:space="preserve"> </w:t>
      </w:r>
      <w:r>
        <w:rPr>
          <w:rFonts w:eastAsiaTheme="majorEastAsia" w:cstheme="majorBidi"/>
        </w:rPr>
        <w:t xml:space="preserve">in the Cape York area in Queensland. All people on Income Management in the Cape York area </w:t>
      </w:r>
      <w:r w:rsidRPr="009C33C0">
        <w:rPr>
          <w:rFonts w:eastAsiaTheme="majorEastAsia" w:cstheme="majorBidi"/>
        </w:rPr>
        <w:t xml:space="preserve">will </w:t>
      </w:r>
      <w:r>
        <w:rPr>
          <w:rFonts w:eastAsiaTheme="majorEastAsia" w:cstheme="majorBidi"/>
        </w:rPr>
        <w:t>be transitioned</w:t>
      </w:r>
      <w:r w:rsidRPr="009C33C0">
        <w:rPr>
          <w:rFonts w:eastAsiaTheme="majorEastAsia" w:cstheme="majorBidi"/>
        </w:rPr>
        <w:t xml:space="preserve"> to the CDC </w:t>
      </w:r>
      <w:r>
        <w:rPr>
          <w:rFonts w:eastAsiaTheme="majorEastAsia" w:cstheme="majorBidi"/>
        </w:rPr>
        <w:t>by 31 December 2021.</w:t>
      </w:r>
      <w:r w:rsidRPr="009C33C0">
        <w:rPr>
          <w:rFonts w:eastAsiaTheme="majorEastAsia" w:cstheme="majorBidi"/>
        </w:rPr>
        <w:t xml:space="preserve">  </w:t>
      </w:r>
    </w:p>
    <w:p w14:paraId="6282C809" w14:textId="77777777" w:rsidR="00B02DED" w:rsidRPr="009C33C0" w:rsidRDefault="00B02DED" w:rsidP="003C24F8">
      <w:pPr>
        <w:jc w:val="both"/>
        <w:rPr>
          <w:rFonts w:eastAsiaTheme="majorEastAsia" w:cstheme="majorBidi"/>
        </w:rPr>
      </w:pPr>
    </w:p>
    <w:p w14:paraId="4E40FEEC" w14:textId="77777777" w:rsidR="003C24F8" w:rsidRPr="006D2CD5" w:rsidRDefault="003C24F8" w:rsidP="003C24F8">
      <w:pPr>
        <w:jc w:val="both"/>
        <w:rPr>
          <w:rFonts w:eastAsiaTheme="majorEastAsia" w:cstheme="majorBidi"/>
        </w:rPr>
      </w:pPr>
      <w:r>
        <w:rPr>
          <w:rFonts w:eastAsiaTheme="majorEastAsia" w:cstheme="majorBidi"/>
        </w:rPr>
        <w:t>I</w:t>
      </w:r>
      <w:r w:rsidRPr="006D2CD5">
        <w:rPr>
          <w:rFonts w:eastAsiaTheme="majorEastAsia" w:cstheme="majorBidi"/>
        </w:rPr>
        <w:t>nco</w:t>
      </w:r>
      <w:r>
        <w:rPr>
          <w:rFonts w:eastAsiaTheme="majorEastAsia" w:cstheme="majorBidi"/>
        </w:rPr>
        <w:t>me M</w:t>
      </w:r>
      <w:r w:rsidRPr="006D2CD5">
        <w:rPr>
          <w:rFonts w:eastAsiaTheme="majorEastAsia" w:cstheme="majorBidi"/>
        </w:rPr>
        <w:t xml:space="preserve">anagement </w:t>
      </w:r>
      <w:r>
        <w:rPr>
          <w:rFonts w:eastAsiaTheme="majorEastAsia" w:cstheme="majorBidi"/>
        </w:rPr>
        <w:t xml:space="preserve">also operates </w:t>
      </w:r>
      <w:r w:rsidRPr="006D2CD5">
        <w:rPr>
          <w:rFonts w:eastAsiaTheme="majorEastAsia" w:cstheme="majorBidi"/>
        </w:rPr>
        <w:t xml:space="preserve">in several </w:t>
      </w:r>
      <w:r>
        <w:rPr>
          <w:rFonts w:eastAsiaTheme="majorEastAsia" w:cstheme="majorBidi"/>
        </w:rPr>
        <w:t xml:space="preserve">other </w:t>
      </w:r>
      <w:r w:rsidRPr="006D2CD5">
        <w:rPr>
          <w:rFonts w:eastAsiaTheme="majorEastAsia" w:cstheme="majorBidi"/>
        </w:rPr>
        <w:t>small-scale sites around Australia:</w:t>
      </w:r>
    </w:p>
    <w:p w14:paraId="2E809507" w14:textId="77777777" w:rsidR="003C24F8" w:rsidRPr="006D2CD5" w:rsidRDefault="003C24F8" w:rsidP="00643073">
      <w:pPr>
        <w:pStyle w:val="ListParagraph"/>
        <w:numPr>
          <w:ilvl w:val="0"/>
          <w:numId w:val="6"/>
        </w:numPr>
        <w:spacing w:after="160" w:line="259" w:lineRule="auto"/>
        <w:jc w:val="both"/>
        <w:rPr>
          <w:rFonts w:eastAsiaTheme="majorEastAsia" w:cstheme="majorBidi"/>
        </w:rPr>
      </w:pPr>
      <w:r>
        <w:rPr>
          <w:rFonts w:eastAsiaTheme="majorEastAsia" w:cstheme="majorBidi"/>
        </w:rPr>
        <w:t xml:space="preserve">place-based </w:t>
      </w:r>
      <w:r w:rsidRPr="006D2CD5">
        <w:rPr>
          <w:rFonts w:eastAsiaTheme="majorEastAsia" w:cstheme="majorBidi"/>
        </w:rPr>
        <w:t>sites of Logan (Qld), Rockhampton (Qld), Bankstown (NSW), Greater Shepparton (Vic) and Playford (SA)</w:t>
      </w:r>
    </w:p>
    <w:p w14:paraId="15E1F999" w14:textId="77777777" w:rsidR="003C24F8" w:rsidRPr="006D2CD5" w:rsidRDefault="003C24F8" w:rsidP="00643073">
      <w:pPr>
        <w:pStyle w:val="ListParagraph"/>
        <w:numPr>
          <w:ilvl w:val="0"/>
          <w:numId w:val="6"/>
        </w:numPr>
        <w:spacing w:after="160" w:line="259" w:lineRule="auto"/>
        <w:jc w:val="both"/>
        <w:rPr>
          <w:rFonts w:eastAsiaTheme="majorEastAsia" w:cstheme="majorBidi"/>
        </w:rPr>
      </w:pPr>
      <w:r w:rsidRPr="006D2CD5">
        <w:rPr>
          <w:rFonts w:eastAsiaTheme="majorEastAsia" w:cstheme="majorBidi"/>
        </w:rPr>
        <w:t>child protection sites in Western Australia and South Australia and</w:t>
      </w:r>
    </w:p>
    <w:p w14:paraId="19312412" w14:textId="77777777" w:rsidR="003C24F8" w:rsidRPr="006D2CD5" w:rsidRDefault="003C24F8" w:rsidP="00643073">
      <w:pPr>
        <w:pStyle w:val="ListParagraph"/>
        <w:numPr>
          <w:ilvl w:val="0"/>
          <w:numId w:val="6"/>
        </w:numPr>
        <w:spacing w:after="160" w:line="259" w:lineRule="auto"/>
        <w:jc w:val="both"/>
        <w:rPr>
          <w:rFonts w:eastAsiaTheme="majorEastAsia" w:cstheme="majorBidi"/>
        </w:rPr>
      </w:pPr>
      <w:r w:rsidRPr="006D2CD5">
        <w:rPr>
          <w:rFonts w:eastAsiaTheme="majorEastAsia" w:cstheme="majorBidi"/>
        </w:rPr>
        <w:t>the APY Lands (SA), Ngaanyatjarra (Ng) Lands (WA) and Kiwirrkurra Community (WA).</w:t>
      </w:r>
      <w:r w:rsidRPr="006D2CD5">
        <w:t xml:space="preserve"> </w:t>
      </w:r>
    </w:p>
    <w:p w14:paraId="0D4196F1" w14:textId="1103CC0F" w:rsidR="003C24F8" w:rsidRDefault="003C24F8" w:rsidP="003C24F8">
      <w:pPr>
        <w:jc w:val="both"/>
        <w:rPr>
          <w:rFonts w:eastAsiaTheme="majorEastAsia" w:cstheme="majorBidi"/>
        </w:rPr>
      </w:pPr>
      <w:r w:rsidRPr="006174B0">
        <w:rPr>
          <w:rFonts w:eastAsiaTheme="majorEastAsia" w:cstheme="majorBidi"/>
        </w:rPr>
        <w:t>As at August</w:t>
      </w:r>
      <w:r w:rsidR="00861D22">
        <w:rPr>
          <w:rFonts w:eastAsiaTheme="majorEastAsia" w:cstheme="majorBidi"/>
        </w:rPr>
        <w:t xml:space="preserve"> 2019, of the 24,974 people subject to Income M</w:t>
      </w:r>
      <w:r w:rsidRPr="006174B0">
        <w:rPr>
          <w:rFonts w:eastAsiaTheme="majorEastAsia" w:cstheme="majorBidi"/>
        </w:rPr>
        <w:t>anagement in Australia, 79 per cent were Aboriginal or Torres Strait Islander</w:t>
      </w:r>
      <w:r w:rsidR="009E1104">
        <w:rPr>
          <w:rFonts w:eastAsiaTheme="majorEastAsia" w:cstheme="majorBidi"/>
        </w:rPr>
        <w:t xml:space="preserve"> people</w:t>
      </w:r>
      <w:r w:rsidRPr="006174B0">
        <w:rPr>
          <w:rFonts w:eastAsiaTheme="majorEastAsia" w:cstheme="majorBidi"/>
        </w:rPr>
        <w:t>.</w:t>
      </w:r>
    </w:p>
    <w:p w14:paraId="28484B35" w14:textId="77777777" w:rsidR="00B02DED" w:rsidRPr="006174B0" w:rsidRDefault="00B02DED" w:rsidP="003C24F8">
      <w:pPr>
        <w:jc w:val="both"/>
        <w:rPr>
          <w:rFonts w:eastAsiaTheme="majorEastAsia" w:cstheme="majorBidi"/>
        </w:rPr>
      </w:pPr>
    </w:p>
    <w:p w14:paraId="7879F7CF" w14:textId="77777777" w:rsidR="003C24F8" w:rsidRPr="00215A24" w:rsidRDefault="003C24F8" w:rsidP="00215A24">
      <w:pPr>
        <w:pStyle w:val="Heading3"/>
      </w:pPr>
      <w:bookmarkStart w:id="3" w:name="_Toc67933675"/>
      <w:r w:rsidRPr="00215A24">
        <w:t>CDC program numbers</w:t>
      </w:r>
      <w:r w:rsidRPr="00215A24">
        <w:rPr>
          <w:rStyle w:val="FootnoteReference"/>
          <w:rFonts w:eastAsiaTheme="majorEastAsia" w:cstheme="majorBidi"/>
        </w:rPr>
        <w:footnoteReference w:id="3"/>
      </w:r>
      <w:bookmarkEnd w:id="3"/>
    </w:p>
    <w:p w14:paraId="7A24ABF1" w14:textId="77777777" w:rsidR="003C24F8" w:rsidRDefault="003C24F8" w:rsidP="003C24F8">
      <w:pPr>
        <w:jc w:val="both"/>
        <w:rPr>
          <w:rFonts w:eastAsiaTheme="majorEastAsia" w:cstheme="majorBidi"/>
        </w:rPr>
      </w:pPr>
      <w:r>
        <w:rPr>
          <w:rFonts w:eastAsiaTheme="majorEastAsia" w:cstheme="majorBidi"/>
        </w:rPr>
        <w:t>The Cashless Debit Card was initially introduced in 2016 as a trial program in two areas in South Australia and Western Australia. These trials were extended in duration and location a number of times.</w:t>
      </w:r>
    </w:p>
    <w:p w14:paraId="6BE5448B" w14:textId="77777777" w:rsidR="00215A24" w:rsidRDefault="00215A24" w:rsidP="003C24F8">
      <w:pPr>
        <w:jc w:val="both"/>
        <w:rPr>
          <w:rFonts w:eastAsiaTheme="majorEastAsia" w:cstheme="majorBidi"/>
        </w:rPr>
      </w:pPr>
    </w:p>
    <w:p w14:paraId="55837C69" w14:textId="77777777" w:rsidR="003C24F8" w:rsidRDefault="003C24F8" w:rsidP="003C24F8">
      <w:pPr>
        <w:jc w:val="both"/>
        <w:rPr>
          <w:rFonts w:eastAsiaTheme="majorEastAsia" w:cstheme="majorBidi"/>
        </w:rPr>
      </w:pPr>
      <w:r w:rsidRPr="006D2CD5">
        <w:rPr>
          <w:rFonts w:eastAsiaTheme="majorEastAsia" w:cstheme="majorBidi"/>
        </w:rPr>
        <w:t>Th</w:t>
      </w:r>
      <w:r>
        <w:rPr>
          <w:rFonts w:eastAsiaTheme="majorEastAsia" w:cstheme="majorBidi"/>
        </w:rPr>
        <w:t xml:space="preserve">e total number of people subject to </w:t>
      </w:r>
      <w:r w:rsidRPr="006D2CD5">
        <w:rPr>
          <w:rFonts w:eastAsiaTheme="majorEastAsia" w:cstheme="majorBidi"/>
        </w:rPr>
        <w:t xml:space="preserve">the </w:t>
      </w:r>
      <w:r>
        <w:rPr>
          <w:rFonts w:eastAsiaTheme="majorEastAsia" w:cstheme="majorBidi"/>
        </w:rPr>
        <w:t>C</w:t>
      </w:r>
      <w:r w:rsidRPr="006D2CD5">
        <w:rPr>
          <w:rFonts w:eastAsiaTheme="majorEastAsia" w:cstheme="majorBidi"/>
        </w:rPr>
        <w:t xml:space="preserve">ashless </w:t>
      </w:r>
      <w:r>
        <w:rPr>
          <w:rFonts w:eastAsiaTheme="majorEastAsia" w:cstheme="majorBidi"/>
        </w:rPr>
        <w:t>D</w:t>
      </w:r>
      <w:r w:rsidRPr="006D2CD5">
        <w:rPr>
          <w:rFonts w:eastAsiaTheme="majorEastAsia" w:cstheme="majorBidi"/>
        </w:rPr>
        <w:t xml:space="preserve">ebit </w:t>
      </w:r>
      <w:r>
        <w:rPr>
          <w:rFonts w:eastAsiaTheme="majorEastAsia" w:cstheme="majorBidi"/>
        </w:rPr>
        <w:t>C</w:t>
      </w:r>
      <w:r w:rsidRPr="006D2CD5">
        <w:rPr>
          <w:rFonts w:eastAsiaTheme="majorEastAsia" w:cstheme="majorBidi"/>
        </w:rPr>
        <w:t xml:space="preserve">ard </w:t>
      </w:r>
      <w:r>
        <w:rPr>
          <w:rFonts w:eastAsiaTheme="majorEastAsia" w:cstheme="majorBidi"/>
        </w:rPr>
        <w:t>trial as at</w:t>
      </w:r>
      <w:r w:rsidRPr="006D2CD5">
        <w:rPr>
          <w:rFonts w:eastAsiaTheme="majorEastAsia" w:cstheme="majorBidi"/>
        </w:rPr>
        <w:t xml:space="preserve"> December 2020 was smaller</w:t>
      </w:r>
      <w:r>
        <w:rPr>
          <w:rFonts w:eastAsiaTheme="majorEastAsia" w:cstheme="majorBidi"/>
        </w:rPr>
        <w:t xml:space="preserve"> than the number of people subject to Income Management</w:t>
      </w:r>
      <w:r w:rsidRPr="006D2CD5">
        <w:rPr>
          <w:rFonts w:eastAsiaTheme="majorEastAsia" w:cstheme="majorBidi"/>
        </w:rPr>
        <w:t xml:space="preserve">. </w:t>
      </w:r>
    </w:p>
    <w:p w14:paraId="3048A1FC" w14:textId="77777777" w:rsidR="00215A24" w:rsidRDefault="00215A24" w:rsidP="003C24F8">
      <w:pPr>
        <w:jc w:val="both"/>
        <w:rPr>
          <w:rFonts w:eastAsiaTheme="majorEastAsia" w:cstheme="majorBidi"/>
        </w:rPr>
      </w:pPr>
    </w:p>
    <w:p w14:paraId="6D7B1237" w14:textId="77777777" w:rsidR="003C24F8" w:rsidRDefault="003C24F8" w:rsidP="003C24F8">
      <w:pPr>
        <w:jc w:val="both"/>
        <w:rPr>
          <w:rFonts w:eastAsiaTheme="majorEastAsia" w:cstheme="majorBidi"/>
        </w:rPr>
      </w:pPr>
      <w:r w:rsidRPr="006D2CD5">
        <w:rPr>
          <w:rFonts w:eastAsiaTheme="majorEastAsia" w:cstheme="majorBidi"/>
        </w:rPr>
        <w:t xml:space="preserve">The largest </w:t>
      </w:r>
      <w:r>
        <w:rPr>
          <w:rFonts w:eastAsiaTheme="majorEastAsia" w:cstheme="majorBidi"/>
        </w:rPr>
        <w:t xml:space="preserve">trial </w:t>
      </w:r>
      <w:r w:rsidRPr="006D2CD5">
        <w:rPr>
          <w:rFonts w:eastAsiaTheme="majorEastAsia" w:cstheme="majorBidi"/>
        </w:rPr>
        <w:t xml:space="preserve">site was the Bundaberg and Hervey Bay </w:t>
      </w:r>
      <w:r>
        <w:rPr>
          <w:rFonts w:eastAsiaTheme="majorEastAsia" w:cstheme="majorBidi"/>
        </w:rPr>
        <w:t>area</w:t>
      </w:r>
      <w:r w:rsidRPr="006D2CD5">
        <w:rPr>
          <w:rFonts w:eastAsiaTheme="majorEastAsia" w:cstheme="majorBidi"/>
        </w:rPr>
        <w:t xml:space="preserve"> with 6,084 card users</w:t>
      </w:r>
      <w:r>
        <w:rPr>
          <w:rFonts w:eastAsiaTheme="majorEastAsia" w:cstheme="majorBidi"/>
        </w:rPr>
        <w:t>,</w:t>
      </w:r>
      <w:r w:rsidRPr="006D2CD5">
        <w:rPr>
          <w:rFonts w:eastAsiaTheme="majorEastAsia" w:cstheme="majorBidi"/>
        </w:rPr>
        <w:t xml:space="preserve"> followed by the Goldfields </w:t>
      </w:r>
      <w:r>
        <w:rPr>
          <w:rFonts w:eastAsiaTheme="majorEastAsia" w:cstheme="majorBidi"/>
        </w:rPr>
        <w:t>area</w:t>
      </w:r>
      <w:r w:rsidRPr="006D2CD5">
        <w:rPr>
          <w:rFonts w:eastAsiaTheme="majorEastAsia" w:cstheme="majorBidi"/>
        </w:rPr>
        <w:t xml:space="preserve"> with around 3,473.</w:t>
      </w:r>
      <w:r>
        <w:rPr>
          <w:rFonts w:eastAsiaTheme="majorEastAsia" w:cstheme="majorBidi"/>
        </w:rPr>
        <w:t xml:space="preserve"> </w:t>
      </w:r>
    </w:p>
    <w:p w14:paraId="2576C7BC" w14:textId="77777777" w:rsidR="00215A24" w:rsidRDefault="00215A24" w:rsidP="003C24F8">
      <w:pPr>
        <w:jc w:val="both"/>
        <w:rPr>
          <w:rFonts w:eastAsiaTheme="majorEastAsia" w:cstheme="majorBidi"/>
        </w:rPr>
      </w:pPr>
    </w:p>
    <w:p w14:paraId="58D94599" w14:textId="77777777" w:rsidR="003C24F8" w:rsidRDefault="003C24F8" w:rsidP="00215A24">
      <w:pPr>
        <w:pStyle w:val="Heading3"/>
      </w:pPr>
      <w:bookmarkStart w:id="4" w:name="_Toc67933676"/>
      <w:r w:rsidRPr="005C3A43">
        <w:t>How income management and cashless debit cards work</w:t>
      </w:r>
      <w:bookmarkEnd w:id="4"/>
    </w:p>
    <w:p w14:paraId="224FD14E" w14:textId="5786E1C9" w:rsidR="003C24F8" w:rsidRPr="00A26B0D" w:rsidRDefault="003C24F8" w:rsidP="00643073">
      <w:pPr>
        <w:pStyle w:val="ListParagraph"/>
        <w:numPr>
          <w:ilvl w:val="0"/>
          <w:numId w:val="2"/>
        </w:numPr>
        <w:spacing w:after="160" w:line="259" w:lineRule="auto"/>
        <w:jc w:val="both"/>
      </w:pPr>
      <w:bookmarkStart w:id="5" w:name="_Toc67933677"/>
      <w:r w:rsidRPr="00531C7F">
        <w:rPr>
          <w:rStyle w:val="Heading5Char"/>
        </w:rPr>
        <w:t>Income management</w:t>
      </w:r>
      <w:bookmarkEnd w:id="5"/>
      <w:r w:rsidRPr="00A26B0D">
        <w:rPr>
          <w:b/>
        </w:rPr>
        <w:t>:</w:t>
      </w:r>
      <w:r w:rsidRPr="00A26B0D">
        <w:t xml:space="preserve"> a prescribed percentage of the person’s </w:t>
      </w:r>
      <w:r>
        <w:t xml:space="preserve">Centrelink </w:t>
      </w:r>
      <w:r w:rsidRPr="00A26B0D">
        <w:t xml:space="preserve">payment is quarantined to </w:t>
      </w:r>
      <w:r>
        <w:t>an Income Management account</w:t>
      </w:r>
      <w:r w:rsidRPr="00A26B0D">
        <w:t xml:space="preserve"> </w:t>
      </w:r>
      <w:r w:rsidR="009E1104">
        <w:t xml:space="preserve">maintained by the Government and accessed via a “stored value card” </w:t>
      </w:r>
      <w:r>
        <w:t>(</w:t>
      </w:r>
      <w:r w:rsidR="009E1104">
        <w:t xml:space="preserve">issued by </w:t>
      </w:r>
      <w:r>
        <w:t xml:space="preserve">Indue), </w:t>
      </w:r>
      <w:r w:rsidRPr="00A26B0D">
        <w:t xml:space="preserve">and may </w:t>
      </w:r>
      <w:r w:rsidRPr="00861D22">
        <w:rPr>
          <w:rFonts w:eastAsiaTheme="majorEastAsia" w:cstheme="majorBidi"/>
        </w:rPr>
        <w:t>be spent on anything other than “excluded goods or services” such as alcohol, tobacco, gambling and pornography. In the Northern Territory, the quarantined portion for most people subject to Income</w:t>
      </w:r>
      <w:r>
        <w:t xml:space="preserve"> Management is 50% of Centrelink payments (though it is 70% for a small number of people). </w:t>
      </w:r>
    </w:p>
    <w:p w14:paraId="6B1D6531" w14:textId="78397903" w:rsidR="003C24F8" w:rsidRPr="00E72E3D" w:rsidRDefault="003C24F8" w:rsidP="00643073">
      <w:pPr>
        <w:pStyle w:val="ListParagraph"/>
        <w:numPr>
          <w:ilvl w:val="1"/>
          <w:numId w:val="2"/>
        </w:numPr>
        <w:spacing w:after="160" w:line="259" w:lineRule="auto"/>
        <w:jc w:val="both"/>
        <w:rPr>
          <w:rFonts w:eastAsiaTheme="majorEastAsia" w:cstheme="majorBidi"/>
        </w:rPr>
      </w:pPr>
      <w:r w:rsidRPr="006D2CD5">
        <w:t xml:space="preserve">The BasicsCard is a </w:t>
      </w:r>
      <w:r>
        <w:t xml:space="preserve">pin-protected cashless debit </w:t>
      </w:r>
      <w:r w:rsidRPr="006D2CD5">
        <w:t>car</w:t>
      </w:r>
      <w:r>
        <w:t>d issued to Income Management participants.</w:t>
      </w:r>
      <w:r w:rsidR="009E1104">
        <w:t xml:space="preserve"> It</w:t>
      </w:r>
      <w:r w:rsidRPr="00CE49F9">
        <w:t xml:space="preserve"> </w:t>
      </w:r>
      <w:r w:rsidRPr="006D2CD5">
        <w:t>operates on the EFTPOS system.</w:t>
      </w:r>
    </w:p>
    <w:p w14:paraId="71A87127" w14:textId="694BD4F8" w:rsidR="009E1104" w:rsidRPr="00A26B0D" w:rsidRDefault="009E1104" w:rsidP="009E1104">
      <w:pPr>
        <w:pStyle w:val="ListParagraph"/>
        <w:numPr>
          <w:ilvl w:val="1"/>
          <w:numId w:val="2"/>
        </w:numPr>
        <w:spacing w:after="160" w:line="259" w:lineRule="auto"/>
        <w:jc w:val="both"/>
        <w:rPr>
          <w:rFonts w:eastAsiaTheme="majorEastAsia" w:cstheme="majorBidi"/>
        </w:rPr>
      </w:pPr>
      <w:r>
        <w:t xml:space="preserve">The BasicsCard is only accepted in certain stores or venues. </w:t>
      </w:r>
      <w:r w:rsidRPr="006D2CD5">
        <w:t>A merchant</w:t>
      </w:r>
      <w:r>
        <w:t xml:space="preserve"> (shop)</w:t>
      </w:r>
      <w:r w:rsidRPr="006D2CD5">
        <w:t xml:space="preserve"> can only accept the BasicsCard if they have signed an agreement and Services Australia has approved it.</w:t>
      </w:r>
    </w:p>
    <w:p w14:paraId="61BFEA0E" w14:textId="77777777" w:rsidR="003C24F8" w:rsidRPr="00E72E3D" w:rsidRDefault="003C24F8" w:rsidP="00643073">
      <w:pPr>
        <w:pStyle w:val="ListParagraph"/>
        <w:numPr>
          <w:ilvl w:val="1"/>
          <w:numId w:val="2"/>
        </w:numPr>
        <w:spacing w:after="160" w:line="259" w:lineRule="auto"/>
        <w:jc w:val="both"/>
        <w:rPr>
          <w:rFonts w:eastAsiaTheme="majorEastAsia" w:cstheme="majorBidi"/>
        </w:rPr>
      </w:pPr>
      <w:r>
        <w:t xml:space="preserve">The BasicsCard was </w:t>
      </w:r>
      <w:r w:rsidRPr="006D2CD5">
        <w:t xml:space="preserve">developed </w:t>
      </w:r>
      <w:r>
        <w:t xml:space="preserve">by Indue </w:t>
      </w:r>
      <w:r w:rsidRPr="006D2CD5">
        <w:t xml:space="preserve">specifically for </w:t>
      </w:r>
      <w:r>
        <w:t>the Income Management program,</w:t>
      </w:r>
      <w:r w:rsidRPr="006D2CD5">
        <w:t xml:space="preserve"> </w:t>
      </w:r>
      <w:r>
        <w:t>to replace</w:t>
      </w:r>
      <w:r w:rsidRPr="006D2CD5">
        <w:t xml:space="preserve"> an earlier</w:t>
      </w:r>
      <w:r>
        <w:t xml:space="preserve"> </w:t>
      </w:r>
      <w:r w:rsidRPr="006D2CD5">
        <w:t>system that relied on vouchers and store cards</w:t>
      </w:r>
      <w:r>
        <w:t xml:space="preserve">. </w:t>
      </w:r>
    </w:p>
    <w:p w14:paraId="316D468F" w14:textId="77777777" w:rsidR="003C24F8" w:rsidRPr="009740D4" w:rsidRDefault="003C24F8" w:rsidP="00643073">
      <w:pPr>
        <w:pStyle w:val="ListParagraph"/>
        <w:numPr>
          <w:ilvl w:val="1"/>
          <w:numId w:val="2"/>
        </w:numPr>
        <w:spacing w:after="160" w:line="259" w:lineRule="auto"/>
        <w:jc w:val="both"/>
        <w:rPr>
          <w:rFonts w:eastAsiaTheme="majorEastAsia" w:cstheme="majorBidi"/>
        </w:rPr>
      </w:pPr>
      <w:r>
        <w:t xml:space="preserve">People on Income Management can </w:t>
      </w:r>
      <w:r w:rsidRPr="006D2CD5">
        <w:t xml:space="preserve">spend their managed funds </w:t>
      </w:r>
      <w:r>
        <w:t xml:space="preserve">by using their </w:t>
      </w:r>
      <w:r w:rsidRPr="006D2CD5">
        <w:t>BasicsCard, or by arranging for Centrelink to make payments on their behalf (for example, regular rent and utilities payments).</w:t>
      </w:r>
    </w:p>
    <w:p w14:paraId="4838A0A9" w14:textId="77777777" w:rsidR="003C24F8" w:rsidRPr="006D2CD5" w:rsidRDefault="003C24F8" w:rsidP="00643073">
      <w:pPr>
        <w:pStyle w:val="ListParagraph"/>
        <w:numPr>
          <w:ilvl w:val="1"/>
          <w:numId w:val="2"/>
        </w:numPr>
        <w:spacing w:after="160" w:line="259" w:lineRule="auto"/>
        <w:jc w:val="both"/>
        <w:rPr>
          <w:rFonts w:eastAsiaTheme="majorEastAsia" w:cstheme="majorBidi"/>
        </w:rPr>
      </w:pPr>
      <w:r>
        <w:t>For people subject to Income Management, as for the CDC program participants, the unrestricted portion of a person’s Centrelink payment is credited to their ordinary personal bank account.</w:t>
      </w:r>
    </w:p>
    <w:p w14:paraId="3F783C86" w14:textId="77777777" w:rsidR="003C24F8" w:rsidRPr="006D2CD5" w:rsidRDefault="003C24F8" w:rsidP="003C24F8">
      <w:pPr>
        <w:pStyle w:val="ListParagraph"/>
        <w:ind w:left="1440"/>
        <w:jc w:val="both"/>
        <w:rPr>
          <w:rFonts w:eastAsiaTheme="majorEastAsia" w:cstheme="majorBidi"/>
        </w:rPr>
      </w:pPr>
    </w:p>
    <w:p w14:paraId="02B6C550" w14:textId="77777777" w:rsidR="003C24F8" w:rsidRPr="00A26B0D" w:rsidRDefault="003C24F8" w:rsidP="00643073">
      <w:pPr>
        <w:pStyle w:val="ListParagraph"/>
        <w:numPr>
          <w:ilvl w:val="0"/>
          <w:numId w:val="2"/>
        </w:numPr>
        <w:spacing w:after="160" w:line="259" w:lineRule="auto"/>
        <w:jc w:val="both"/>
        <w:rPr>
          <w:rFonts w:eastAsiaTheme="majorEastAsia" w:cstheme="majorBidi"/>
        </w:rPr>
      </w:pPr>
      <w:bookmarkStart w:id="6" w:name="_Toc67933678"/>
      <w:r w:rsidRPr="00531C7F">
        <w:rPr>
          <w:rStyle w:val="Heading5Char"/>
        </w:rPr>
        <w:t>Cashless debit card</w:t>
      </w:r>
      <w:bookmarkEnd w:id="6"/>
      <w:r w:rsidRPr="00A26B0D">
        <w:rPr>
          <w:b/>
        </w:rPr>
        <w:t>:</w:t>
      </w:r>
      <w:r w:rsidRPr="00A26B0D">
        <w:t xml:space="preserve"> a prescribed percentage of the person’s </w:t>
      </w:r>
      <w:r>
        <w:t xml:space="preserve">Centrelink </w:t>
      </w:r>
      <w:r w:rsidRPr="00A26B0D">
        <w:t xml:space="preserve">payment is quarantined to </w:t>
      </w:r>
      <w:r>
        <w:t xml:space="preserve">a Welfare Restricted Bank Account </w:t>
      </w:r>
      <w:r w:rsidRPr="00A26B0D">
        <w:t>and may be</w:t>
      </w:r>
      <w:r>
        <w:t xml:space="preserve"> spent on anything other alcohol or gambling. Cash withdrawals cannot be made from</w:t>
      </w:r>
      <w:r w:rsidRPr="00A86018">
        <w:t xml:space="preserve"> </w:t>
      </w:r>
      <w:r>
        <w:t xml:space="preserve">the Welfare Restricted Bank Account. </w:t>
      </w:r>
      <w:r w:rsidRPr="00A26B0D">
        <w:t xml:space="preserve">The default </w:t>
      </w:r>
      <w:r>
        <w:t>for CDC quarantining in most areas i</w:t>
      </w:r>
      <w:r w:rsidRPr="00A26B0D">
        <w:t>s 80%</w:t>
      </w:r>
      <w:r>
        <w:t xml:space="preserve"> of a person’s Centrelink payment</w:t>
      </w:r>
      <w:r w:rsidRPr="00A26B0D">
        <w:t>. This quarantined amount is known as the ‘restricted portion’.</w:t>
      </w:r>
    </w:p>
    <w:p w14:paraId="38BC3F5E" w14:textId="77777777" w:rsidR="003C24F8" w:rsidRPr="006D2CD5" w:rsidRDefault="003C24F8" w:rsidP="00643073">
      <w:pPr>
        <w:pStyle w:val="ListParagraph"/>
        <w:numPr>
          <w:ilvl w:val="1"/>
          <w:numId w:val="2"/>
        </w:numPr>
        <w:spacing w:after="160" w:line="259" w:lineRule="auto"/>
        <w:jc w:val="both"/>
        <w:rPr>
          <w:rFonts w:eastAsiaTheme="majorEastAsia" w:cstheme="majorBidi"/>
        </w:rPr>
      </w:pPr>
      <w:r w:rsidRPr="006D2CD5">
        <w:t xml:space="preserve">The </w:t>
      </w:r>
      <w:r>
        <w:t>CDC</w:t>
      </w:r>
      <w:r w:rsidRPr="006D2CD5">
        <w:t xml:space="preserve"> is a Visa debit card issued by Indue.</w:t>
      </w:r>
    </w:p>
    <w:p w14:paraId="28D7C08F" w14:textId="77777777" w:rsidR="003C24F8" w:rsidRPr="006D2CD5" w:rsidRDefault="003C24F8" w:rsidP="00643073">
      <w:pPr>
        <w:pStyle w:val="ListParagraph"/>
        <w:numPr>
          <w:ilvl w:val="1"/>
          <w:numId w:val="2"/>
        </w:numPr>
        <w:spacing w:after="160" w:line="259" w:lineRule="auto"/>
        <w:jc w:val="both"/>
        <w:rPr>
          <w:rFonts w:eastAsiaTheme="majorEastAsia" w:cstheme="majorBidi"/>
        </w:rPr>
      </w:pPr>
      <w:r w:rsidRPr="006D2CD5">
        <w:t>Cardholders can use their card at any physical store that accepts Visa debit unless the store has been blocked</w:t>
      </w:r>
      <w:r>
        <w:t xml:space="preserve"> (for example, liquor stores)</w:t>
      </w:r>
      <w:r w:rsidRPr="006D2CD5">
        <w:t>.</w:t>
      </w:r>
    </w:p>
    <w:p w14:paraId="7802FC65" w14:textId="77777777" w:rsidR="003C24F8" w:rsidRPr="00FC117F" w:rsidRDefault="003C24F8" w:rsidP="00643073">
      <w:pPr>
        <w:pStyle w:val="ListParagraph"/>
        <w:numPr>
          <w:ilvl w:val="1"/>
          <w:numId w:val="2"/>
        </w:numPr>
        <w:spacing w:after="160" w:line="259" w:lineRule="auto"/>
        <w:jc w:val="both"/>
        <w:rPr>
          <w:rFonts w:eastAsiaTheme="majorEastAsia" w:cstheme="majorBidi"/>
        </w:rPr>
      </w:pPr>
      <w:r w:rsidRPr="00FC117F">
        <w:t>Cardholders can also use the card to make online purchases from approved online merchants.</w:t>
      </w:r>
    </w:p>
    <w:p w14:paraId="2599B5B7" w14:textId="77777777" w:rsidR="003C24F8" w:rsidRPr="00F913A4" w:rsidRDefault="003C24F8" w:rsidP="00643073">
      <w:pPr>
        <w:pStyle w:val="ListParagraph"/>
        <w:numPr>
          <w:ilvl w:val="1"/>
          <w:numId w:val="2"/>
        </w:numPr>
        <w:spacing w:after="160" w:line="259" w:lineRule="auto"/>
        <w:jc w:val="both"/>
        <w:rPr>
          <w:rFonts w:eastAsiaTheme="majorEastAsia" w:cstheme="majorBidi"/>
        </w:rPr>
      </w:pPr>
      <w:r>
        <w:t>The unrestricted portion of the person’s Centrelink payment, generally 20%, is credited to the person’s ordinary personal bank account.</w:t>
      </w:r>
    </w:p>
    <w:p w14:paraId="14DCED3F" w14:textId="77777777" w:rsidR="003C24F8" w:rsidRDefault="003C24F8" w:rsidP="00643073">
      <w:pPr>
        <w:pStyle w:val="ListParagraph"/>
        <w:numPr>
          <w:ilvl w:val="1"/>
          <w:numId w:val="2"/>
        </w:numPr>
        <w:spacing w:after="160" w:line="259" w:lineRule="auto"/>
        <w:jc w:val="both"/>
        <w:rPr>
          <w:rFonts w:eastAsiaTheme="majorEastAsia" w:cstheme="majorBidi"/>
        </w:rPr>
      </w:pPr>
      <w:r w:rsidRPr="00BE0C7C">
        <w:rPr>
          <w:rFonts w:eastAsiaTheme="majorEastAsia" w:cstheme="majorBidi"/>
        </w:rPr>
        <w:t>For certain recipients, the amount of each portion may be varied,</w:t>
      </w:r>
      <w:r>
        <w:rPr>
          <w:rFonts w:eastAsiaTheme="majorEastAsia" w:cstheme="majorBidi"/>
        </w:rPr>
        <w:t xml:space="preserve"> either at the direction of an authorised community body or at the determination of the Secretary or the Minister for Social Services (the delegated Centrelink officer).</w:t>
      </w:r>
    </w:p>
    <w:p w14:paraId="7A865377" w14:textId="77777777" w:rsidR="003C24F8" w:rsidRPr="006D2CD5" w:rsidRDefault="003C24F8" w:rsidP="003C24F8">
      <w:pPr>
        <w:pStyle w:val="ListParagraph"/>
        <w:jc w:val="both"/>
        <w:rPr>
          <w:rFonts w:eastAsiaTheme="majorEastAsia" w:cstheme="majorBidi"/>
        </w:rPr>
      </w:pPr>
    </w:p>
    <w:p w14:paraId="0E3CE44F" w14:textId="77777777" w:rsidR="003C24F8" w:rsidRPr="005C3A43" w:rsidRDefault="003C24F8" w:rsidP="00215A24">
      <w:pPr>
        <w:pStyle w:val="Heading3"/>
      </w:pPr>
      <w:bookmarkStart w:id="7" w:name="_Toc67933679"/>
      <w:r w:rsidRPr="005C3A43">
        <w:t xml:space="preserve">Differences between </w:t>
      </w:r>
      <w:r>
        <w:t>the BasicsCard</w:t>
      </w:r>
      <w:r w:rsidRPr="005C3A43">
        <w:t xml:space="preserve"> and the CDC in practice</w:t>
      </w:r>
      <w:bookmarkEnd w:id="7"/>
    </w:p>
    <w:p w14:paraId="510F69B7" w14:textId="77777777" w:rsidR="003C24F8" w:rsidRPr="00531C7F" w:rsidRDefault="003C24F8" w:rsidP="00531C7F">
      <w:pPr>
        <w:pStyle w:val="Heading5"/>
      </w:pPr>
      <w:bookmarkStart w:id="8" w:name="_Toc67933680"/>
      <w:r w:rsidRPr="00531C7F">
        <w:t>Eligibility</w:t>
      </w:r>
      <w:bookmarkEnd w:id="8"/>
      <w:r w:rsidRPr="00531C7F">
        <w:t xml:space="preserve"> </w:t>
      </w:r>
    </w:p>
    <w:p w14:paraId="5757621A" w14:textId="77777777" w:rsidR="003C24F8" w:rsidRPr="007E4967" w:rsidRDefault="003C24F8" w:rsidP="00643073">
      <w:pPr>
        <w:pStyle w:val="ListParagraph"/>
        <w:numPr>
          <w:ilvl w:val="1"/>
          <w:numId w:val="2"/>
        </w:numPr>
        <w:spacing w:after="160" w:line="259" w:lineRule="auto"/>
        <w:jc w:val="both"/>
        <w:rPr>
          <w:b/>
        </w:rPr>
      </w:pPr>
      <w:r w:rsidRPr="007E4967">
        <w:t xml:space="preserve">The criteria for forced participation in the </w:t>
      </w:r>
      <w:r>
        <w:t>CDC program,</w:t>
      </w:r>
      <w:r w:rsidRPr="007E4967">
        <w:t xml:space="preserve"> are broader than the criteria for Income Management.</w:t>
      </w:r>
    </w:p>
    <w:p w14:paraId="4E5B6A5E" w14:textId="77777777" w:rsidR="003C24F8" w:rsidRPr="007E4967" w:rsidRDefault="003C24F8" w:rsidP="00643073">
      <w:pPr>
        <w:pStyle w:val="ListParagraph"/>
        <w:numPr>
          <w:ilvl w:val="1"/>
          <w:numId w:val="2"/>
        </w:numPr>
        <w:spacing w:after="160" w:line="259" w:lineRule="auto"/>
        <w:jc w:val="both"/>
        <w:rPr>
          <w:b/>
        </w:rPr>
      </w:pPr>
      <w:r w:rsidRPr="007E4967">
        <w:t xml:space="preserve">Currently, most people are only placed on Income Management after receiving </w:t>
      </w:r>
      <w:r>
        <w:t xml:space="preserve">income support </w:t>
      </w:r>
      <w:r w:rsidRPr="007E4967">
        <w:t xml:space="preserve">payments for a particular period of time. This is not the case with the Cashless Debit Card – there is no threshold relating to the length of time a person has received payments. </w:t>
      </w:r>
    </w:p>
    <w:p w14:paraId="240C79B5" w14:textId="77777777" w:rsidR="003C24F8" w:rsidRPr="007E4967" w:rsidRDefault="003C24F8" w:rsidP="00643073">
      <w:pPr>
        <w:pStyle w:val="ListParagraph"/>
        <w:numPr>
          <w:ilvl w:val="1"/>
          <w:numId w:val="2"/>
        </w:numPr>
        <w:spacing w:after="160" w:line="259" w:lineRule="auto"/>
        <w:jc w:val="both"/>
        <w:rPr>
          <w:b/>
        </w:rPr>
      </w:pPr>
      <w:r w:rsidRPr="007E4967">
        <w:t xml:space="preserve">The specific criteria for forced participation in the CDC </w:t>
      </w:r>
      <w:r>
        <w:t>program</w:t>
      </w:r>
      <w:r w:rsidRPr="007E4967">
        <w:t xml:space="preserve"> in each </w:t>
      </w:r>
      <w:r>
        <w:t>program</w:t>
      </w:r>
      <w:r w:rsidRPr="007E4967">
        <w:t xml:space="preserve"> area are set out later in this brief. </w:t>
      </w:r>
    </w:p>
    <w:p w14:paraId="0DA5DB44" w14:textId="77777777" w:rsidR="003C24F8" w:rsidRPr="007E4967" w:rsidRDefault="003C24F8" w:rsidP="00531C7F">
      <w:pPr>
        <w:pStyle w:val="Heading5"/>
      </w:pPr>
      <w:bookmarkStart w:id="9" w:name="_Toc67933681"/>
      <w:r w:rsidRPr="007E4967">
        <w:t>Exemptions and options for exiting</w:t>
      </w:r>
      <w:bookmarkEnd w:id="9"/>
      <w:r w:rsidRPr="007E4967">
        <w:t xml:space="preserve"> </w:t>
      </w:r>
    </w:p>
    <w:p w14:paraId="2ED97042" w14:textId="77777777" w:rsidR="003C24F8" w:rsidRDefault="003C24F8" w:rsidP="00643073">
      <w:pPr>
        <w:pStyle w:val="ListParagraph"/>
        <w:numPr>
          <w:ilvl w:val="1"/>
          <w:numId w:val="2"/>
        </w:numPr>
        <w:spacing w:after="160" w:line="259" w:lineRule="auto"/>
        <w:jc w:val="both"/>
        <w:rPr>
          <w:bCs w:val="0"/>
        </w:rPr>
      </w:pPr>
      <w:r w:rsidRPr="007E4967">
        <w:t xml:space="preserve">It is possible for people on the BasicsCard to seek an exemption from </w:t>
      </w:r>
      <w:r>
        <w:t>I</w:t>
      </w:r>
      <w:r w:rsidRPr="007E4967">
        <w:t xml:space="preserve">ncome </w:t>
      </w:r>
      <w:r>
        <w:t>Management</w:t>
      </w:r>
      <w:r w:rsidRPr="007E4967">
        <w:t xml:space="preserve"> if they satisfy </w:t>
      </w:r>
      <w:r>
        <w:t>specified</w:t>
      </w:r>
      <w:r w:rsidRPr="007E4967">
        <w:t xml:space="preserve"> parenting, study or work activity requirements. </w:t>
      </w:r>
    </w:p>
    <w:p w14:paraId="66B4626D" w14:textId="77777777" w:rsidR="003C24F8" w:rsidRDefault="003C24F8" w:rsidP="00643073">
      <w:pPr>
        <w:pStyle w:val="ListParagraph"/>
        <w:numPr>
          <w:ilvl w:val="1"/>
          <w:numId w:val="2"/>
        </w:numPr>
        <w:spacing w:after="160" w:line="259" w:lineRule="auto"/>
        <w:jc w:val="both"/>
        <w:rPr>
          <w:bCs w:val="0"/>
        </w:rPr>
      </w:pPr>
      <w:r>
        <w:t>In order to exit or be exempt from the CDC program, however, a person must satisfy the Secretary (i.e. the delegated officer) that either:</w:t>
      </w:r>
    </w:p>
    <w:p w14:paraId="3130D042" w14:textId="77777777" w:rsidR="003C24F8" w:rsidRDefault="003C24F8" w:rsidP="00643073">
      <w:pPr>
        <w:pStyle w:val="ListParagraph"/>
        <w:numPr>
          <w:ilvl w:val="2"/>
          <w:numId w:val="2"/>
        </w:numPr>
        <w:spacing w:after="160" w:line="259" w:lineRule="auto"/>
        <w:jc w:val="both"/>
        <w:rPr>
          <w:bCs w:val="0"/>
        </w:rPr>
      </w:pPr>
      <w:r>
        <w:t xml:space="preserve">participating in the program </w:t>
      </w:r>
      <w:r w:rsidRPr="00C8496C">
        <w:t xml:space="preserve">would pose a serious risk to </w:t>
      </w:r>
      <w:r>
        <w:t>their</w:t>
      </w:r>
      <w:r w:rsidRPr="00C8496C">
        <w:t xml:space="preserve"> mental, physical or emotional wellbeing</w:t>
      </w:r>
      <w:r>
        <w:t>; or</w:t>
      </w:r>
    </w:p>
    <w:p w14:paraId="38B23397" w14:textId="292007FF" w:rsidR="003C24F8" w:rsidRDefault="003C24F8" w:rsidP="00643073">
      <w:pPr>
        <w:pStyle w:val="ListParagraph"/>
        <w:numPr>
          <w:ilvl w:val="2"/>
          <w:numId w:val="2"/>
        </w:numPr>
        <w:spacing w:after="160" w:line="259" w:lineRule="auto"/>
        <w:jc w:val="both"/>
        <w:rPr>
          <w:bCs w:val="0"/>
        </w:rPr>
      </w:pPr>
      <w:r w:rsidRPr="00C8496C">
        <w:t>the</w:t>
      </w:r>
      <w:r>
        <w:t>y</w:t>
      </w:r>
      <w:r w:rsidR="00286E77">
        <w:t xml:space="preserve"> </w:t>
      </w:r>
      <w:r w:rsidRPr="00C8496C">
        <w:t xml:space="preserve">can demonstrate reasonable and responsible management of </w:t>
      </w:r>
      <w:r w:rsidR="00215A24" w:rsidRPr="00C8496C">
        <w:t>the</w:t>
      </w:r>
      <w:r w:rsidR="00215A24">
        <w:t>ir</w:t>
      </w:r>
      <w:r w:rsidR="00215A24" w:rsidRPr="00C8496C">
        <w:t xml:space="preserve"> affairs</w:t>
      </w:r>
      <w:r w:rsidRPr="00C8496C">
        <w:t xml:space="preserve"> (including financial affairs)</w:t>
      </w:r>
      <w:r>
        <w:t xml:space="preserve">, taking into account a range of prescribed factors. </w:t>
      </w:r>
    </w:p>
    <w:p w14:paraId="277209DD" w14:textId="77777777" w:rsidR="003C24F8" w:rsidRDefault="003C24F8" w:rsidP="00643073">
      <w:pPr>
        <w:pStyle w:val="ListParagraph"/>
        <w:numPr>
          <w:ilvl w:val="3"/>
          <w:numId w:val="2"/>
        </w:numPr>
        <w:spacing w:after="160" w:line="259" w:lineRule="auto"/>
        <w:jc w:val="both"/>
        <w:rPr>
          <w:bCs w:val="0"/>
        </w:rPr>
      </w:pPr>
      <w:r>
        <w:t xml:space="preserve">Following the passage of the </w:t>
      </w:r>
      <w:r>
        <w:rPr>
          <w:i/>
          <w:iCs/>
        </w:rPr>
        <w:t xml:space="preserve">Social Security (Administration) Amendment (Continuation of Cashless Welfare) Act 2020, </w:t>
      </w:r>
      <w:r>
        <w:t xml:space="preserve">applications to exit the CDC program on this basis must be determined within 60 days, or are otherwise deemed to be approved. </w:t>
      </w:r>
    </w:p>
    <w:p w14:paraId="5CF12D3D" w14:textId="77777777" w:rsidR="003C24F8" w:rsidRDefault="003C24F8" w:rsidP="00643073">
      <w:pPr>
        <w:pStyle w:val="ListParagraph"/>
        <w:numPr>
          <w:ilvl w:val="3"/>
          <w:numId w:val="2"/>
        </w:numPr>
        <w:spacing w:after="160" w:line="259" w:lineRule="auto"/>
        <w:jc w:val="both"/>
        <w:rPr>
          <w:bCs w:val="0"/>
        </w:rPr>
      </w:pPr>
      <w:r>
        <w:t xml:space="preserve">If a person is unable to demonstrate responsible management of their affairs with respect to the prescribed factors because of a disability or (non-parental) caring responsibility, the Secretary may still approve an application to exit the CDC scheme.  </w:t>
      </w:r>
    </w:p>
    <w:p w14:paraId="2B6161B7" w14:textId="4C3DB920" w:rsidR="003C24F8" w:rsidRPr="007E4967" w:rsidRDefault="003C24F8" w:rsidP="00643073">
      <w:pPr>
        <w:pStyle w:val="ListParagraph"/>
        <w:numPr>
          <w:ilvl w:val="1"/>
          <w:numId w:val="2"/>
        </w:numPr>
        <w:spacing w:after="160" w:line="259" w:lineRule="auto"/>
        <w:jc w:val="both"/>
        <w:rPr>
          <w:bCs w:val="0"/>
        </w:rPr>
      </w:pPr>
      <w:r>
        <w:lastRenderedPageBreak/>
        <w:t xml:space="preserve">The Secretary </w:t>
      </w:r>
      <w:r w:rsidR="000F4871">
        <w:t xml:space="preserve">must </w:t>
      </w:r>
      <w:r>
        <w:t xml:space="preserve">revoke a decision to exit or exempt a person from the CDC program (i.e. put someone back on the CDC) if no longer satisfied that the person meets the wellbeing or responsible management of affairs criteria. </w:t>
      </w:r>
      <w:r w:rsidR="000F4871">
        <w:t xml:space="preserve">Certain health or government staff can request that the Secretary reconsider exist or exemption approvals. </w:t>
      </w:r>
    </w:p>
    <w:p w14:paraId="51EE7A2D" w14:textId="77777777" w:rsidR="003C24F8" w:rsidRPr="007E4967" w:rsidRDefault="003C24F8" w:rsidP="00531C7F">
      <w:pPr>
        <w:pStyle w:val="Heading5"/>
      </w:pPr>
      <w:bookmarkStart w:id="10" w:name="_Toc67933682"/>
      <w:r>
        <w:t>Percentage</w:t>
      </w:r>
      <w:r w:rsidRPr="007E4967">
        <w:t xml:space="preserve"> of payment quarantined</w:t>
      </w:r>
      <w:bookmarkEnd w:id="10"/>
    </w:p>
    <w:p w14:paraId="44D2023D" w14:textId="77777777" w:rsidR="003C24F8" w:rsidRPr="008501B0" w:rsidRDefault="003C24F8" w:rsidP="00643073">
      <w:pPr>
        <w:pStyle w:val="ListParagraph"/>
        <w:numPr>
          <w:ilvl w:val="1"/>
          <w:numId w:val="2"/>
        </w:numPr>
        <w:spacing w:after="160" w:line="259" w:lineRule="auto"/>
        <w:jc w:val="both"/>
        <w:rPr>
          <w:b/>
        </w:rPr>
      </w:pPr>
      <w:r>
        <w:t>P</w:t>
      </w:r>
      <w:r w:rsidRPr="007E4967">
        <w:t>eople subject to the CD</w:t>
      </w:r>
      <w:r>
        <w:t xml:space="preserve">C in areas outside the NT </w:t>
      </w:r>
      <w:r w:rsidRPr="007E4967">
        <w:t>have 80% of their social security income quarantined.</w:t>
      </w:r>
    </w:p>
    <w:p w14:paraId="47ACBB98" w14:textId="77777777" w:rsidR="003C24F8" w:rsidRPr="007E4967" w:rsidRDefault="003C24F8" w:rsidP="00643073">
      <w:pPr>
        <w:pStyle w:val="ListParagraph"/>
        <w:numPr>
          <w:ilvl w:val="1"/>
          <w:numId w:val="2"/>
        </w:numPr>
        <w:spacing w:after="160" w:line="259" w:lineRule="auto"/>
        <w:jc w:val="both"/>
        <w:rPr>
          <w:b/>
        </w:rPr>
      </w:pPr>
      <w:r>
        <w:t xml:space="preserve">People in the NT who switch from Income Management to the CDC program initially have the same percentage of income quarantined as they had under Income Management. </w:t>
      </w:r>
      <w:r w:rsidRPr="007E4967">
        <w:t xml:space="preserve">For most people on Income Management, </w:t>
      </w:r>
      <w:r>
        <w:t>this</w:t>
      </w:r>
      <w:r w:rsidRPr="007E4967">
        <w:t xml:space="preserve"> is 50%</w:t>
      </w:r>
      <w:r>
        <w:t>, h</w:t>
      </w:r>
      <w:r w:rsidRPr="007E4967">
        <w:t xml:space="preserve">owever, these </w:t>
      </w:r>
      <w:r>
        <w:t>percentages</w:t>
      </w:r>
      <w:r w:rsidRPr="007E4967">
        <w:t xml:space="preserve"> can be changed. </w:t>
      </w:r>
    </w:p>
    <w:p w14:paraId="48A5A377" w14:textId="77777777" w:rsidR="003C24F8" w:rsidRDefault="003C24F8" w:rsidP="00643073">
      <w:pPr>
        <w:pStyle w:val="ListParagraph"/>
        <w:numPr>
          <w:ilvl w:val="1"/>
          <w:numId w:val="2"/>
        </w:numPr>
        <w:spacing w:after="160" w:line="259" w:lineRule="auto"/>
        <w:jc w:val="both"/>
        <w:rPr>
          <w:bCs w:val="0"/>
        </w:rPr>
      </w:pPr>
      <w:r>
        <w:t>Under Income Management, t</w:t>
      </w:r>
      <w:r w:rsidRPr="007E4967">
        <w:t xml:space="preserve">he Minister </w:t>
      </w:r>
      <w:r>
        <w:t xml:space="preserve">for Social Services </w:t>
      </w:r>
      <w:r w:rsidRPr="007E4967">
        <w:t xml:space="preserve">has the power to increase the quarantined portion to a higher percentage only if the Minister considers this is necessary to promote the objectives of </w:t>
      </w:r>
      <w:r>
        <w:t>the I</w:t>
      </w:r>
      <w:r w:rsidRPr="007E4967">
        <w:t xml:space="preserve">ncome </w:t>
      </w:r>
      <w:r>
        <w:t>M</w:t>
      </w:r>
      <w:r w:rsidRPr="007E4967">
        <w:t>anagement regime.</w:t>
      </w:r>
      <w:r>
        <w:t xml:space="preserve"> This means the Minister must have a reason or explanation before deciding to increase the percentage. </w:t>
      </w:r>
    </w:p>
    <w:p w14:paraId="157CDFA1" w14:textId="77777777" w:rsidR="003C24F8" w:rsidRPr="008501B0" w:rsidRDefault="003C24F8" w:rsidP="00643073">
      <w:pPr>
        <w:pStyle w:val="ListParagraph"/>
        <w:numPr>
          <w:ilvl w:val="1"/>
          <w:numId w:val="2"/>
        </w:numPr>
        <w:spacing w:after="160" w:line="259" w:lineRule="auto"/>
        <w:jc w:val="both"/>
        <w:rPr>
          <w:bCs w:val="0"/>
        </w:rPr>
      </w:pPr>
      <w:r w:rsidRPr="00913271">
        <w:t>The Minister can increase the portion of quarantined</w:t>
      </w:r>
      <w:r w:rsidRPr="000549AA">
        <w:t xml:space="preserve"> payments under the </w:t>
      </w:r>
      <w:r w:rsidRPr="009A031F">
        <w:t>CDC program up to a maximum of</w:t>
      </w:r>
      <w:r w:rsidRPr="008501B0">
        <w:t xml:space="preserve"> 80%. </w:t>
      </w:r>
      <w:r w:rsidRPr="00913271">
        <w:t xml:space="preserve">Under the CDC program in the Northern Territory (only), </w:t>
      </w:r>
      <w:r w:rsidRPr="000549AA">
        <w:t xml:space="preserve">the Minister </w:t>
      </w:r>
      <w:r w:rsidRPr="009A031F">
        <w:t>can unilaterally increase the portion of money restricted w</w:t>
      </w:r>
      <w:r w:rsidRPr="008501B0">
        <w:t xml:space="preserve">ithout any reason or justification. </w:t>
      </w:r>
    </w:p>
    <w:p w14:paraId="729BDD55" w14:textId="77777777" w:rsidR="003C24F8" w:rsidRPr="007E4967" w:rsidRDefault="003C24F8" w:rsidP="00643073">
      <w:pPr>
        <w:pStyle w:val="ListParagraph"/>
        <w:numPr>
          <w:ilvl w:val="1"/>
          <w:numId w:val="2"/>
        </w:numPr>
        <w:spacing w:after="160" w:line="259" w:lineRule="auto"/>
        <w:jc w:val="both"/>
        <w:rPr>
          <w:bCs w:val="0"/>
        </w:rPr>
      </w:pPr>
      <w:r>
        <w:t xml:space="preserve">Under the CDC program, the quarantined amount can also be </w:t>
      </w:r>
      <w:r>
        <w:rPr>
          <w:i/>
          <w:iCs/>
        </w:rPr>
        <w:t xml:space="preserve">decreased </w:t>
      </w:r>
      <w:r>
        <w:t xml:space="preserve">by the Secretary in specified circumstances (for example, where there is financial hardship or there are technological malfunctions). </w:t>
      </w:r>
    </w:p>
    <w:p w14:paraId="6086E868" w14:textId="77777777" w:rsidR="003C24F8" w:rsidRPr="003D75DD" w:rsidRDefault="003C24F8" w:rsidP="00531C7F">
      <w:pPr>
        <w:pStyle w:val="Heading5"/>
      </w:pPr>
      <w:bookmarkStart w:id="11" w:name="_Toc67933683"/>
      <w:r>
        <w:t>Merchants</w:t>
      </w:r>
      <w:r w:rsidRPr="003D75DD">
        <w:t>:</w:t>
      </w:r>
      <w:bookmarkEnd w:id="11"/>
    </w:p>
    <w:p w14:paraId="328ED897" w14:textId="77777777" w:rsidR="003C24F8" w:rsidRPr="00ED3B24" w:rsidRDefault="003C24F8" w:rsidP="00643073">
      <w:pPr>
        <w:pStyle w:val="ListParagraph"/>
        <w:numPr>
          <w:ilvl w:val="1"/>
          <w:numId w:val="2"/>
        </w:numPr>
        <w:spacing w:after="160" w:line="259" w:lineRule="auto"/>
        <w:jc w:val="both"/>
        <w:rPr>
          <w:rFonts w:eastAsiaTheme="majorEastAsia" w:cstheme="majorBidi"/>
        </w:rPr>
      </w:pPr>
      <w:r>
        <w:t>T</w:t>
      </w:r>
      <w:r w:rsidRPr="003D75DD">
        <w:t xml:space="preserve">he CDC can be used at a larger number of merchants than the </w:t>
      </w:r>
      <w:r>
        <w:t>Income Management BasicsCard:</w:t>
      </w:r>
    </w:p>
    <w:p w14:paraId="2D17E788" w14:textId="77777777" w:rsidR="003C24F8" w:rsidRPr="006D2CD5" w:rsidRDefault="003C24F8" w:rsidP="00643073">
      <w:pPr>
        <w:pStyle w:val="ListParagraph"/>
        <w:numPr>
          <w:ilvl w:val="2"/>
          <w:numId w:val="2"/>
        </w:numPr>
        <w:spacing w:after="160" w:line="259" w:lineRule="auto"/>
        <w:jc w:val="both"/>
        <w:rPr>
          <w:rFonts w:eastAsiaTheme="majorEastAsia" w:cstheme="majorBidi"/>
        </w:rPr>
      </w:pPr>
      <w:r w:rsidRPr="006D2CD5">
        <w:t xml:space="preserve">The </w:t>
      </w:r>
      <w:r>
        <w:t>CDC</w:t>
      </w:r>
      <w:r w:rsidRPr="006D2CD5">
        <w:t xml:space="preserve"> can be used at any merchant the Department has not blocked (provided it is able to accept Visa Debit) </w:t>
      </w:r>
    </w:p>
    <w:p w14:paraId="091A1B9C" w14:textId="77777777" w:rsidR="003C24F8" w:rsidRPr="003D75DD" w:rsidRDefault="003C24F8" w:rsidP="00643073">
      <w:pPr>
        <w:pStyle w:val="ListParagraph"/>
        <w:numPr>
          <w:ilvl w:val="2"/>
          <w:numId w:val="2"/>
        </w:numPr>
        <w:spacing w:after="160" w:line="259" w:lineRule="auto"/>
        <w:jc w:val="both"/>
      </w:pPr>
      <w:r>
        <w:t xml:space="preserve">The BasicsCard </w:t>
      </w:r>
      <w:r w:rsidRPr="006D2CD5">
        <w:t xml:space="preserve">can only be used at merchants that the Department </w:t>
      </w:r>
      <w:r>
        <w:t>of Human Services has approved.</w:t>
      </w:r>
    </w:p>
    <w:p w14:paraId="49A1E2EC" w14:textId="77777777" w:rsidR="003C24F8" w:rsidRPr="00ED3B24" w:rsidRDefault="003C24F8" w:rsidP="00643073">
      <w:pPr>
        <w:pStyle w:val="ListParagraph"/>
        <w:numPr>
          <w:ilvl w:val="1"/>
          <w:numId w:val="2"/>
        </w:numPr>
        <w:spacing w:after="160" w:line="259" w:lineRule="auto"/>
        <w:jc w:val="both"/>
        <w:rPr>
          <w:b/>
        </w:rPr>
      </w:pPr>
      <w:r>
        <w:t>T</w:t>
      </w:r>
      <w:r w:rsidRPr="003D75DD">
        <w:t>he CDC can be used for online purchases at approved merchants</w:t>
      </w:r>
      <w:r>
        <w:t xml:space="preserve"> and for online payment of bills via BPay.</w:t>
      </w:r>
    </w:p>
    <w:p w14:paraId="628B5ADD" w14:textId="77777777" w:rsidR="003C24F8" w:rsidRPr="003D75DD" w:rsidRDefault="003C24F8" w:rsidP="00643073">
      <w:pPr>
        <w:pStyle w:val="ListParagraph"/>
        <w:numPr>
          <w:ilvl w:val="1"/>
          <w:numId w:val="2"/>
        </w:numPr>
        <w:spacing w:after="160" w:line="259" w:lineRule="auto"/>
        <w:jc w:val="both"/>
        <w:rPr>
          <w:b/>
        </w:rPr>
      </w:pPr>
      <w:r>
        <w:t>The BasicsCard cannot be used for online purchases (although regular direct debits can be arranged).</w:t>
      </w:r>
    </w:p>
    <w:p w14:paraId="1729B60A" w14:textId="77777777" w:rsidR="003C24F8" w:rsidRPr="00A26B0D" w:rsidRDefault="003C24F8" w:rsidP="00531C7F">
      <w:pPr>
        <w:pStyle w:val="Heading5"/>
        <w:rPr>
          <w:rFonts w:eastAsiaTheme="majorEastAsia" w:cstheme="majorBidi"/>
        </w:rPr>
      </w:pPr>
      <w:bookmarkStart w:id="12" w:name="_Toc67933684"/>
      <w:r w:rsidRPr="006D2CD5">
        <w:t>Merchant responsibilities:</w:t>
      </w:r>
      <w:bookmarkEnd w:id="12"/>
    </w:p>
    <w:p w14:paraId="36396ABC" w14:textId="77777777" w:rsidR="003C24F8" w:rsidRPr="00A26B0D" w:rsidRDefault="003C24F8" w:rsidP="00643073">
      <w:pPr>
        <w:pStyle w:val="ListParagraph"/>
        <w:numPr>
          <w:ilvl w:val="1"/>
          <w:numId w:val="2"/>
        </w:numPr>
        <w:spacing w:after="160" w:line="259" w:lineRule="auto"/>
        <w:jc w:val="both"/>
        <w:rPr>
          <w:rFonts w:eastAsiaTheme="majorEastAsia" w:cstheme="majorBidi"/>
        </w:rPr>
      </w:pPr>
      <w:r>
        <w:t>Merchants can only accept</w:t>
      </w:r>
      <w:r w:rsidRPr="006D2CD5">
        <w:t xml:space="preserve"> the BasicsCard </w:t>
      </w:r>
      <w:r>
        <w:t>if they have signed an</w:t>
      </w:r>
      <w:r w:rsidRPr="006D2CD5">
        <w:t xml:space="preserve"> agreement not to process transactions for excluded go</w:t>
      </w:r>
      <w:r>
        <w:t>ods such as alcohol.</w:t>
      </w:r>
    </w:p>
    <w:p w14:paraId="53C0849D" w14:textId="39F7B565" w:rsidR="003C24F8" w:rsidRPr="006D2CD5" w:rsidRDefault="003C24F8" w:rsidP="00643073">
      <w:pPr>
        <w:pStyle w:val="ListParagraph"/>
        <w:numPr>
          <w:ilvl w:val="1"/>
          <w:numId w:val="2"/>
        </w:numPr>
        <w:spacing w:after="160" w:line="259" w:lineRule="auto"/>
        <w:jc w:val="both"/>
        <w:rPr>
          <w:rFonts w:eastAsiaTheme="majorEastAsia" w:cstheme="majorBidi"/>
        </w:rPr>
      </w:pPr>
      <w:r>
        <w:t>M</w:t>
      </w:r>
      <w:r w:rsidRPr="006D2CD5">
        <w:t xml:space="preserve">ost merchants who accept the </w:t>
      </w:r>
      <w:r>
        <w:t>CDC</w:t>
      </w:r>
      <w:r w:rsidRPr="006D2CD5">
        <w:t xml:space="preserve"> have no agreement with either the Department </w:t>
      </w:r>
      <w:r>
        <w:t xml:space="preserve">of Social Services </w:t>
      </w:r>
      <w:r w:rsidRPr="006D2CD5">
        <w:t>or the card provider</w:t>
      </w:r>
      <w:r>
        <w:t xml:space="preserve">. Generally only mixed merchants, e.g. those selling alcohol as well as groceries, will need to sign an agreement – to </w:t>
      </w:r>
      <w:r w:rsidR="000F4871">
        <w:t xml:space="preserve">avoid being </w:t>
      </w:r>
      <w:r>
        <w:t>block</w:t>
      </w:r>
      <w:r w:rsidR="000F4871">
        <w:t>ed entirely</w:t>
      </w:r>
      <w:r>
        <w:t>.</w:t>
      </w:r>
    </w:p>
    <w:p w14:paraId="1BAC5E78" w14:textId="77777777" w:rsidR="003C24F8" w:rsidRDefault="003C24F8" w:rsidP="00531C7F">
      <w:pPr>
        <w:pStyle w:val="Heading5"/>
        <w:rPr>
          <w:rFonts w:eastAsiaTheme="majorEastAsia" w:cstheme="majorBidi"/>
        </w:rPr>
      </w:pPr>
      <w:bookmarkStart w:id="13" w:name="_Toc67933685"/>
      <w:r w:rsidRPr="00A26B0D">
        <w:t>Face-to-face assistance with budgeting:</w:t>
      </w:r>
      <w:bookmarkEnd w:id="13"/>
    </w:p>
    <w:p w14:paraId="3EB0D67E" w14:textId="77777777" w:rsidR="003C24F8" w:rsidRPr="007E4967" w:rsidRDefault="003C24F8" w:rsidP="00643073">
      <w:pPr>
        <w:pStyle w:val="ListParagraph"/>
        <w:numPr>
          <w:ilvl w:val="1"/>
          <w:numId w:val="2"/>
        </w:numPr>
        <w:spacing w:after="160" w:line="259" w:lineRule="auto"/>
        <w:jc w:val="both"/>
        <w:rPr>
          <w:rFonts w:eastAsiaTheme="majorEastAsia" w:cstheme="majorBidi"/>
        </w:rPr>
      </w:pPr>
      <w:r w:rsidRPr="00A26B0D">
        <w:t xml:space="preserve">When a person is placed on </w:t>
      </w:r>
      <w:r>
        <w:t>I</w:t>
      </w:r>
      <w:r w:rsidRPr="00A26B0D">
        <w:t xml:space="preserve">ncome </w:t>
      </w:r>
      <w:r>
        <w:t>M</w:t>
      </w:r>
      <w:r w:rsidRPr="00A26B0D">
        <w:t>anagement they attend an interview where they and a Centrelink officer decide how to allocate the person’s income managed funds</w:t>
      </w:r>
      <w:r>
        <w:t xml:space="preserve">. </w:t>
      </w:r>
      <w:r w:rsidRPr="00A26B0D">
        <w:t xml:space="preserve">Centrelink can make payments on the person’s behalf for expenses such as rent with the balance of the person’s income managed funds being allocated to the </w:t>
      </w:r>
      <w:r w:rsidRPr="007E4967">
        <w:t xml:space="preserve">BasicsCard. </w:t>
      </w:r>
    </w:p>
    <w:p w14:paraId="212182C2" w14:textId="45B9CB51" w:rsidR="003C24F8" w:rsidRPr="007E4967" w:rsidRDefault="003C24F8" w:rsidP="00643073">
      <w:pPr>
        <w:pStyle w:val="ListParagraph"/>
        <w:numPr>
          <w:ilvl w:val="1"/>
          <w:numId w:val="2"/>
        </w:numPr>
        <w:spacing w:after="160" w:line="259" w:lineRule="auto"/>
        <w:jc w:val="both"/>
        <w:rPr>
          <w:rFonts w:eastAsiaTheme="majorEastAsia" w:cstheme="majorBidi"/>
        </w:rPr>
      </w:pPr>
      <w:r w:rsidRPr="007E4967">
        <w:lastRenderedPageBreak/>
        <w:t xml:space="preserve">People placed on the CDC program are generally not interviewed, however, Centrelink is offering assistance </w:t>
      </w:r>
      <w:r>
        <w:t xml:space="preserve">to </w:t>
      </w:r>
      <w:r w:rsidRPr="007E4967">
        <w:t>new NT and Cape York participants with setting up direct debits, transfers and BPAYs for rent and other bills.</w:t>
      </w:r>
      <w:r w:rsidR="000F4871">
        <w:t xml:space="preserve"> It remains unclear how this assistance </w:t>
      </w:r>
      <w:r w:rsidR="00286E77">
        <w:t>is being</w:t>
      </w:r>
      <w:r w:rsidR="000F4871">
        <w:t xml:space="preserve"> delivered.</w:t>
      </w:r>
    </w:p>
    <w:p w14:paraId="1DA1FDEF" w14:textId="77777777" w:rsidR="003C24F8" w:rsidRPr="007E4967" w:rsidRDefault="003C24F8" w:rsidP="00531C7F">
      <w:pPr>
        <w:pStyle w:val="Heading5"/>
        <w:rPr>
          <w:rFonts w:eastAsiaTheme="majorEastAsia" w:cstheme="majorBidi"/>
        </w:rPr>
      </w:pPr>
      <w:bookmarkStart w:id="14" w:name="_Toc67933686"/>
      <w:r w:rsidRPr="007E4967">
        <w:t>Cash access:</w:t>
      </w:r>
      <w:bookmarkEnd w:id="14"/>
    </w:p>
    <w:p w14:paraId="6A9768CD" w14:textId="77777777" w:rsidR="003C24F8" w:rsidRPr="00A26B0D" w:rsidRDefault="003C24F8" w:rsidP="00643073">
      <w:pPr>
        <w:pStyle w:val="ListParagraph"/>
        <w:numPr>
          <w:ilvl w:val="1"/>
          <w:numId w:val="2"/>
        </w:numPr>
        <w:spacing w:after="160" w:line="259" w:lineRule="auto"/>
        <w:jc w:val="both"/>
        <w:rPr>
          <w:rFonts w:eastAsiaTheme="majorEastAsia" w:cstheme="majorBidi"/>
        </w:rPr>
      </w:pPr>
      <w:r>
        <w:t>Neither CDCs nor BasicsCards allow withdrawal of cash. Cash withdrawals of Centrelink payments may only be made from the portion credited</w:t>
      </w:r>
      <w:r w:rsidRPr="00A26B0D">
        <w:t xml:space="preserve"> to </w:t>
      </w:r>
      <w:r>
        <w:t>the person’s</w:t>
      </w:r>
      <w:r w:rsidRPr="00A26B0D">
        <w:t xml:space="preserve"> personal bank account</w:t>
      </w:r>
      <w:r>
        <w:t>.</w:t>
      </w:r>
    </w:p>
    <w:p w14:paraId="4D9C7C67" w14:textId="77777777" w:rsidR="003C24F8" w:rsidRPr="00A26B0D" w:rsidRDefault="003C24F8" w:rsidP="00531C7F">
      <w:pPr>
        <w:pStyle w:val="Heading5"/>
        <w:rPr>
          <w:rFonts w:eastAsiaTheme="majorEastAsia" w:cstheme="majorBidi"/>
        </w:rPr>
      </w:pPr>
      <w:bookmarkStart w:id="15" w:name="_Toc67933687"/>
      <w:r w:rsidRPr="00A26B0D">
        <w:t>Excluded items:</w:t>
      </w:r>
      <w:bookmarkEnd w:id="15"/>
    </w:p>
    <w:p w14:paraId="075D65E5" w14:textId="77777777" w:rsidR="003C24F8" w:rsidRDefault="003C24F8" w:rsidP="00643073">
      <w:pPr>
        <w:pStyle w:val="ListParagraph"/>
        <w:numPr>
          <w:ilvl w:val="1"/>
          <w:numId w:val="2"/>
        </w:numPr>
        <w:spacing w:after="160" w:line="259" w:lineRule="auto"/>
        <w:jc w:val="both"/>
        <w:rPr>
          <w:rFonts w:eastAsiaTheme="majorEastAsia" w:cstheme="majorBidi"/>
        </w:rPr>
      </w:pPr>
      <w:r>
        <w:rPr>
          <w:rFonts w:eastAsiaTheme="majorEastAsia" w:cstheme="majorBidi"/>
        </w:rPr>
        <w:t>Alcohol and gambling are excluded under both the Cashless Debit Card and Income Management schemes.</w:t>
      </w:r>
    </w:p>
    <w:p w14:paraId="251AB9F1" w14:textId="31B45E12" w:rsidR="003C24F8" w:rsidRPr="007E4967" w:rsidRDefault="003C24F8" w:rsidP="00643073">
      <w:pPr>
        <w:pStyle w:val="ListParagraph"/>
        <w:numPr>
          <w:ilvl w:val="1"/>
          <w:numId w:val="2"/>
        </w:numPr>
        <w:spacing w:after="160" w:line="259" w:lineRule="auto"/>
        <w:jc w:val="both"/>
        <w:rPr>
          <w:rFonts w:eastAsiaTheme="majorEastAsia" w:cstheme="majorBidi"/>
        </w:rPr>
      </w:pPr>
      <w:r>
        <w:rPr>
          <w:rFonts w:eastAsiaTheme="majorEastAsia" w:cstheme="majorBidi"/>
        </w:rPr>
        <w:t>Tobacco and pornography are only excluded under Income Manage</w:t>
      </w:r>
      <w:r w:rsidR="001D262D">
        <w:rPr>
          <w:rFonts w:eastAsiaTheme="majorEastAsia" w:cstheme="majorBidi"/>
        </w:rPr>
        <w:t>ment, not under the CDC program</w:t>
      </w:r>
      <w:r>
        <w:rPr>
          <w:rFonts w:eastAsiaTheme="majorEastAsia" w:cstheme="majorBidi"/>
        </w:rPr>
        <w:t xml:space="preserve">. </w:t>
      </w:r>
    </w:p>
    <w:p w14:paraId="0D5C0B6D" w14:textId="77777777" w:rsidR="003C24F8" w:rsidRPr="00A26B0D" w:rsidRDefault="003C24F8" w:rsidP="00531C7F">
      <w:pPr>
        <w:pStyle w:val="Heading5"/>
        <w:rPr>
          <w:rFonts w:eastAsiaTheme="majorEastAsia" w:cstheme="majorBidi"/>
        </w:rPr>
      </w:pPr>
      <w:bookmarkStart w:id="16" w:name="_Toc67933688"/>
      <w:r w:rsidRPr="00A26B0D">
        <w:t>Cost of administration:</w:t>
      </w:r>
      <w:bookmarkEnd w:id="16"/>
    </w:p>
    <w:p w14:paraId="1F2F02E8" w14:textId="77777777" w:rsidR="003C24F8" w:rsidRPr="007E4967" w:rsidRDefault="003C24F8" w:rsidP="00643073">
      <w:pPr>
        <w:pStyle w:val="ListParagraph"/>
        <w:numPr>
          <w:ilvl w:val="1"/>
          <w:numId w:val="2"/>
        </w:numPr>
        <w:spacing w:after="160" w:line="259" w:lineRule="auto"/>
        <w:jc w:val="both"/>
        <w:rPr>
          <w:rFonts w:eastAsiaTheme="majorEastAsia" w:cstheme="majorBidi"/>
        </w:rPr>
      </w:pPr>
      <w:r w:rsidRPr="00A26B0D">
        <w:t>Income management imposes a significant</w:t>
      </w:r>
      <w:r>
        <w:t>ly greater</w:t>
      </w:r>
      <w:r w:rsidRPr="00A26B0D">
        <w:t xml:space="preserve"> administrative burden on Centrelink, the Department of </w:t>
      </w:r>
      <w:r>
        <w:t xml:space="preserve">Social Services, the Department of </w:t>
      </w:r>
      <w:r w:rsidRPr="00A26B0D">
        <w:t>Human Services and merchants</w:t>
      </w:r>
      <w:r>
        <w:t xml:space="preserve"> compared to the CDC program</w:t>
      </w:r>
      <w:r w:rsidRPr="00A26B0D">
        <w:t>.</w:t>
      </w:r>
    </w:p>
    <w:p w14:paraId="698F3B7F" w14:textId="77777777" w:rsidR="003C24F8" w:rsidRPr="007E4967" w:rsidRDefault="003C24F8" w:rsidP="00643073">
      <w:pPr>
        <w:pStyle w:val="ListParagraph"/>
        <w:numPr>
          <w:ilvl w:val="1"/>
          <w:numId w:val="2"/>
        </w:numPr>
        <w:spacing w:after="160" w:line="259" w:lineRule="auto"/>
        <w:jc w:val="both"/>
        <w:rPr>
          <w:rFonts w:eastAsiaTheme="majorEastAsia" w:cstheme="majorBidi"/>
        </w:rPr>
      </w:pPr>
      <w:r>
        <w:t xml:space="preserve">For Income Management, </w:t>
      </w:r>
      <w:r w:rsidRPr="00A26B0D">
        <w:t xml:space="preserve">Centrelink must conduct interviews with clients, </w:t>
      </w:r>
      <w:r>
        <w:t xml:space="preserve">and </w:t>
      </w:r>
      <w:r w:rsidRPr="00A26B0D">
        <w:t>the Department of Human Services must approve merchants</w:t>
      </w:r>
      <w:r>
        <w:t>. M</w:t>
      </w:r>
      <w:r w:rsidRPr="00A26B0D">
        <w:t>erchants must police transactions to ensure that the BasicsCard is not used to purchase excluded goods.</w:t>
      </w:r>
    </w:p>
    <w:p w14:paraId="36EA6056" w14:textId="77777777" w:rsidR="003C24F8" w:rsidRPr="007E4967" w:rsidRDefault="003C24F8" w:rsidP="00531C7F">
      <w:pPr>
        <w:pStyle w:val="Heading5"/>
        <w:rPr>
          <w:rFonts w:eastAsiaTheme="majorEastAsia" w:cstheme="majorBidi"/>
        </w:rPr>
      </w:pPr>
      <w:bookmarkStart w:id="17" w:name="_Toc67933689"/>
      <w:r w:rsidRPr="007E4967">
        <w:t xml:space="preserve">Information </w:t>
      </w:r>
      <w:r w:rsidRPr="001E7F4F">
        <w:t xml:space="preserve">collection and </w:t>
      </w:r>
      <w:r w:rsidRPr="007E4967">
        <w:t>sharing</w:t>
      </w:r>
      <w:bookmarkEnd w:id="17"/>
    </w:p>
    <w:p w14:paraId="587E9DFB" w14:textId="1B933A8A" w:rsidR="003C24F8" w:rsidRPr="007E4967" w:rsidRDefault="003C24F8" w:rsidP="00643073">
      <w:pPr>
        <w:pStyle w:val="ListParagraph"/>
        <w:numPr>
          <w:ilvl w:val="1"/>
          <w:numId w:val="2"/>
        </w:numPr>
        <w:spacing w:after="160" w:line="259" w:lineRule="auto"/>
        <w:jc w:val="both"/>
        <w:rPr>
          <w:rFonts w:eastAsiaTheme="majorEastAsia" w:cstheme="majorBidi"/>
        </w:rPr>
      </w:pPr>
      <w:r w:rsidRPr="007E4967">
        <w:t>Under both I</w:t>
      </w:r>
      <w:r>
        <w:t>ncome Management</w:t>
      </w:r>
      <w:r w:rsidRPr="007E4967">
        <w:t xml:space="preserve"> and </w:t>
      </w:r>
      <w:r>
        <w:t xml:space="preserve">the </w:t>
      </w:r>
      <w:r w:rsidRPr="007E4967">
        <w:t>CDC</w:t>
      </w:r>
      <w:r>
        <w:t xml:space="preserve"> program</w:t>
      </w:r>
      <w:r w:rsidRPr="007E4967">
        <w:t xml:space="preserve">, the Secretary </w:t>
      </w:r>
      <w:r>
        <w:t xml:space="preserve">of the Department of Social Services (i.e. their delegated </w:t>
      </w:r>
      <w:r w:rsidR="003E1F4B">
        <w:t>Services Australia</w:t>
      </w:r>
      <w:r>
        <w:t xml:space="preserve"> officers) </w:t>
      </w:r>
      <w:r w:rsidRPr="007E4967">
        <w:t>is able to share personal information about a person who is subject to the program with certain people or organisations – for example, child protection officers or authori</w:t>
      </w:r>
      <w:r>
        <w:t>s</w:t>
      </w:r>
      <w:r w:rsidRPr="007E4967">
        <w:t xml:space="preserve">ed community bodies. </w:t>
      </w:r>
    </w:p>
    <w:p w14:paraId="0C7F7EC1" w14:textId="77777777" w:rsidR="003C24F8" w:rsidRPr="007E4967" w:rsidRDefault="003C24F8" w:rsidP="00643073">
      <w:pPr>
        <w:pStyle w:val="ListParagraph"/>
        <w:numPr>
          <w:ilvl w:val="1"/>
          <w:numId w:val="2"/>
        </w:numPr>
        <w:spacing w:after="160" w:line="259" w:lineRule="auto"/>
        <w:jc w:val="both"/>
        <w:rPr>
          <w:rFonts w:eastAsiaTheme="majorEastAsia" w:cstheme="majorBidi"/>
        </w:rPr>
      </w:pPr>
      <w:r>
        <w:t xml:space="preserve">Under both programs, the Secretary can require a person to give information or documents to the Department if it is “relevant” to the operation of Income Management or the CDC program. Given the broader criteria for exits and exemptions under the CDC program, which involve substantial scrutiny of an individual’s personal life, the scope of information that a person could be required to produce to the Department under the CDC program is likely wider than under Income Management. </w:t>
      </w:r>
    </w:p>
    <w:p w14:paraId="100977E4" w14:textId="07F5266F" w:rsidR="00A232CF" w:rsidRPr="006B52F1" w:rsidRDefault="003C24F8" w:rsidP="00643073">
      <w:pPr>
        <w:pStyle w:val="ListParagraph"/>
        <w:numPr>
          <w:ilvl w:val="1"/>
          <w:numId w:val="2"/>
        </w:numPr>
        <w:spacing w:after="160" w:line="259" w:lineRule="auto"/>
        <w:jc w:val="both"/>
        <w:rPr>
          <w:rFonts w:eastAsiaTheme="majorEastAsia" w:cstheme="majorBidi"/>
        </w:rPr>
      </w:pPr>
      <w:r>
        <w:t>U</w:t>
      </w:r>
      <w:r w:rsidRPr="007E4967">
        <w:t>nder the CDC</w:t>
      </w:r>
      <w:r>
        <w:t xml:space="preserve"> program</w:t>
      </w:r>
      <w:r w:rsidRPr="007E4967">
        <w:t xml:space="preserve">, the Secretary is also able to collect </w:t>
      </w:r>
      <w:r>
        <w:t>and</w:t>
      </w:r>
      <w:r w:rsidRPr="007E4967">
        <w:t xml:space="preserve"> share personal information about a person who is subject to the program with a financial institution. </w:t>
      </w:r>
      <w:r>
        <w:t xml:space="preserve">This facilitates information sharing with Indue, a for-profit company, and also </w:t>
      </w:r>
      <w:r w:rsidR="00821BC1">
        <w:t xml:space="preserve">potentially </w:t>
      </w:r>
      <w:r>
        <w:t>with any other bank that a CDC participant uses.</w:t>
      </w:r>
    </w:p>
    <w:p w14:paraId="17417772" w14:textId="7F31D0D7" w:rsidR="003C24F8" w:rsidRPr="006B52F1" w:rsidRDefault="003C24F8" w:rsidP="006B52F1">
      <w:pPr>
        <w:pStyle w:val="ListParagraph"/>
        <w:spacing w:after="160" w:line="259" w:lineRule="auto"/>
        <w:ind w:left="1080"/>
        <w:jc w:val="both"/>
      </w:pPr>
      <w:r w:rsidRPr="007E4967">
        <w:t xml:space="preserve"> </w:t>
      </w:r>
    </w:p>
    <w:p w14:paraId="45901845" w14:textId="58B87B38" w:rsidR="003C24F8" w:rsidRDefault="00215A24" w:rsidP="00215A24">
      <w:pPr>
        <w:pStyle w:val="Heading1"/>
      </w:pPr>
      <w:bookmarkStart w:id="18" w:name="_Toc67933690"/>
      <w:r>
        <w:t>The</w:t>
      </w:r>
      <w:r w:rsidR="003C24F8" w:rsidRPr="005C3A43">
        <w:t xml:space="preserve"> A</w:t>
      </w:r>
      <w:r>
        <w:t xml:space="preserve">mended </w:t>
      </w:r>
      <w:r w:rsidR="003C24F8">
        <w:t xml:space="preserve">CDC </w:t>
      </w:r>
      <w:r>
        <w:t>Legislation</w:t>
      </w:r>
      <w:bookmarkEnd w:id="18"/>
      <w:r w:rsidR="003C24F8" w:rsidRPr="005C3A43">
        <w:t xml:space="preserve"> </w:t>
      </w:r>
    </w:p>
    <w:p w14:paraId="239F6250" w14:textId="4660F4DB" w:rsidR="00141936" w:rsidRPr="006B52F1" w:rsidRDefault="00141936" w:rsidP="006B52F1">
      <w:pPr>
        <w:pStyle w:val="Heading1"/>
        <w:rPr>
          <w:rFonts w:eastAsiaTheme="majorEastAsia" w:cstheme="majorBidi"/>
          <w:b w:val="0"/>
          <w:color w:val="auto"/>
          <w:sz w:val="22"/>
          <w:szCs w:val="22"/>
          <w:lang w:eastAsia="en-AU"/>
        </w:rPr>
      </w:pPr>
      <w:r w:rsidRPr="006B52F1">
        <w:rPr>
          <w:rFonts w:eastAsiaTheme="majorEastAsia" w:cstheme="majorBidi"/>
          <w:b w:val="0"/>
          <w:color w:val="auto"/>
          <w:sz w:val="22"/>
          <w:szCs w:val="22"/>
          <w:lang w:eastAsia="en-AU"/>
        </w:rPr>
        <w:t>The Social Security (Administration) Amendment (Continuation of Cashless Welfare) Bill 2020 was passed by Parliament on 10 December 2020, receiving Royal Assent on 17 December 2020.</w:t>
      </w:r>
    </w:p>
    <w:p w14:paraId="348B55C7" w14:textId="77777777" w:rsidR="00141936" w:rsidRPr="00141936" w:rsidRDefault="00141936" w:rsidP="00141936">
      <w:pPr>
        <w:jc w:val="both"/>
        <w:rPr>
          <w:rFonts w:eastAsiaTheme="majorEastAsia" w:cstheme="majorBidi"/>
        </w:rPr>
      </w:pPr>
    </w:p>
    <w:p w14:paraId="60668E67" w14:textId="77777777" w:rsidR="00141936" w:rsidRPr="00141936" w:rsidRDefault="00141936" w:rsidP="00141936">
      <w:pPr>
        <w:jc w:val="both"/>
        <w:rPr>
          <w:rFonts w:eastAsiaTheme="majorEastAsia" w:cstheme="majorBidi"/>
        </w:rPr>
      </w:pPr>
      <w:r w:rsidRPr="00141936">
        <w:rPr>
          <w:rFonts w:eastAsiaTheme="majorEastAsia" w:cstheme="majorBidi"/>
        </w:rPr>
        <w:t xml:space="preserve">The amending legislation, the Social Security (Administration) Amendment (Continuation of Cashless Welfare) Act 2020, is available at </w:t>
      </w:r>
      <w:hyperlink r:id="rId11" w:history="1">
        <w:r w:rsidRPr="00141936">
          <w:rPr>
            <w:rFonts w:eastAsiaTheme="majorEastAsia" w:cstheme="majorBidi"/>
            <w:color w:val="0000FF"/>
            <w:u w:val="single"/>
          </w:rPr>
          <w:t>https://www.legislation.gov.au/Details/C2020A00136</w:t>
        </w:r>
      </w:hyperlink>
      <w:r w:rsidRPr="00141936">
        <w:rPr>
          <w:rFonts w:eastAsiaTheme="majorEastAsia" w:cstheme="majorBidi"/>
        </w:rPr>
        <w:t xml:space="preserve"> . </w:t>
      </w:r>
    </w:p>
    <w:p w14:paraId="05967EB7" w14:textId="77777777" w:rsidR="00141936" w:rsidRPr="00141936" w:rsidRDefault="00141936" w:rsidP="00141936">
      <w:pPr>
        <w:jc w:val="both"/>
      </w:pPr>
      <w:r w:rsidRPr="00141936">
        <w:lastRenderedPageBreak/>
        <w:t>The amending Act:</w:t>
      </w:r>
    </w:p>
    <w:p w14:paraId="7987E0B5" w14:textId="19D3DD4D" w:rsidR="00141936" w:rsidRPr="00141936" w:rsidRDefault="00141936" w:rsidP="00141936">
      <w:pPr>
        <w:numPr>
          <w:ilvl w:val="0"/>
          <w:numId w:val="7"/>
        </w:numPr>
        <w:spacing w:after="160" w:line="259" w:lineRule="auto"/>
        <w:ind w:hanging="357"/>
        <w:contextualSpacing/>
        <w:jc w:val="both"/>
      </w:pPr>
      <w:r w:rsidRPr="00141936">
        <w:t>provides for continuation of the Cashless Debit Card program (CDC program) for a further two years, by extending the sunset date to 31 December 2022 in all ex</w:t>
      </w:r>
      <w:r w:rsidR="00F77D10">
        <w:t>isting trial sites</w:t>
      </w:r>
    </w:p>
    <w:p w14:paraId="6CC482BA" w14:textId="77777777" w:rsidR="00141936" w:rsidRPr="00141936" w:rsidRDefault="00141936" w:rsidP="00141936">
      <w:pPr>
        <w:numPr>
          <w:ilvl w:val="1"/>
          <w:numId w:val="8"/>
        </w:numPr>
        <w:spacing w:after="160" w:line="259" w:lineRule="auto"/>
        <w:ind w:hanging="357"/>
        <w:contextualSpacing/>
        <w:jc w:val="both"/>
      </w:pPr>
      <w:r w:rsidRPr="00141936">
        <w:t>the Ceduna area</w:t>
      </w:r>
    </w:p>
    <w:p w14:paraId="49D806E4" w14:textId="77777777" w:rsidR="00141936" w:rsidRPr="00141936" w:rsidRDefault="00141936" w:rsidP="00141936">
      <w:pPr>
        <w:numPr>
          <w:ilvl w:val="1"/>
          <w:numId w:val="8"/>
        </w:numPr>
        <w:spacing w:after="160" w:line="259" w:lineRule="auto"/>
        <w:ind w:hanging="357"/>
        <w:contextualSpacing/>
        <w:jc w:val="both"/>
      </w:pPr>
      <w:r w:rsidRPr="00141936">
        <w:t>the East Kimberley region</w:t>
      </w:r>
    </w:p>
    <w:p w14:paraId="7F8D3343" w14:textId="77777777" w:rsidR="00141936" w:rsidRPr="00141936" w:rsidRDefault="00141936" w:rsidP="00141936">
      <w:pPr>
        <w:numPr>
          <w:ilvl w:val="1"/>
          <w:numId w:val="8"/>
        </w:numPr>
        <w:spacing w:after="160" w:line="259" w:lineRule="auto"/>
        <w:ind w:hanging="357"/>
        <w:contextualSpacing/>
        <w:jc w:val="both"/>
      </w:pPr>
      <w:r w:rsidRPr="00141936">
        <w:t>the Goldfields area</w:t>
      </w:r>
    </w:p>
    <w:p w14:paraId="66F49AC2" w14:textId="77777777" w:rsidR="00141936" w:rsidRPr="00141936" w:rsidRDefault="00141936" w:rsidP="00141936">
      <w:pPr>
        <w:numPr>
          <w:ilvl w:val="1"/>
          <w:numId w:val="8"/>
        </w:numPr>
        <w:spacing w:after="160" w:line="259" w:lineRule="auto"/>
        <w:ind w:hanging="357"/>
        <w:contextualSpacing/>
        <w:jc w:val="both"/>
      </w:pPr>
      <w:r w:rsidRPr="00141936">
        <w:t>the Bundaberg and Hervey Bay area;</w:t>
      </w:r>
    </w:p>
    <w:p w14:paraId="50E1E369" w14:textId="77777777" w:rsidR="00141936" w:rsidRPr="00141936" w:rsidRDefault="00141936" w:rsidP="00141936">
      <w:pPr>
        <w:numPr>
          <w:ilvl w:val="0"/>
          <w:numId w:val="7"/>
        </w:numPr>
        <w:spacing w:after="160" w:line="259" w:lineRule="auto"/>
        <w:ind w:hanging="357"/>
        <w:contextualSpacing/>
        <w:jc w:val="both"/>
      </w:pPr>
      <w:r w:rsidRPr="00141936">
        <w:t>establishes the CDC program in the Northern Territory (on an opt-in basis) and in Cape York, subject to the same sunset date - 31 December 2022;</w:t>
      </w:r>
    </w:p>
    <w:p w14:paraId="04DE124F" w14:textId="77777777" w:rsidR="00141936" w:rsidRPr="00141936" w:rsidRDefault="00141936" w:rsidP="00141936">
      <w:pPr>
        <w:numPr>
          <w:ilvl w:val="0"/>
          <w:numId w:val="7"/>
        </w:numPr>
        <w:spacing w:after="160" w:line="259" w:lineRule="auto"/>
        <w:ind w:hanging="357"/>
        <w:contextualSpacing/>
        <w:jc w:val="both"/>
      </w:pPr>
      <w:r w:rsidRPr="00141936">
        <w:t>removes all references to the CDC operating as a “trial” and instead uses the language of “program” and “program participants”, to reflect the Federal Government’s intention to make the program ongoing;</w:t>
      </w:r>
    </w:p>
    <w:p w14:paraId="56710809" w14:textId="77777777" w:rsidR="00141936" w:rsidRPr="00141936" w:rsidRDefault="00141936" w:rsidP="00141936">
      <w:pPr>
        <w:numPr>
          <w:ilvl w:val="0"/>
          <w:numId w:val="7"/>
        </w:numPr>
        <w:spacing w:after="160" w:line="259" w:lineRule="auto"/>
        <w:ind w:hanging="357"/>
        <w:contextualSpacing/>
        <w:jc w:val="both"/>
      </w:pPr>
      <w:r w:rsidRPr="00141936">
        <w:t>enables people in the Bundaberg and Hervey Bay program area to voluntarily participate in the CDC program (trial participants were previously excluded from voluntary participation in this program area);</w:t>
      </w:r>
    </w:p>
    <w:p w14:paraId="494E28F8" w14:textId="77777777" w:rsidR="00141936" w:rsidRPr="00141936" w:rsidRDefault="00141936" w:rsidP="00141936">
      <w:pPr>
        <w:numPr>
          <w:ilvl w:val="0"/>
          <w:numId w:val="7"/>
        </w:numPr>
        <w:spacing w:after="160" w:line="259" w:lineRule="auto"/>
        <w:ind w:hanging="357"/>
        <w:contextualSpacing/>
        <w:jc w:val="both"/>
      </w:pPr>
      <w:r w:rsidRPr="00141936">
        <w:t>enables a CDC voluntary participant to continue to volunteer for the CDC if they no longer reside in a program area;</w:t>
      </w:r>
    </w:p>
    <w:p w14:paraId="56869AEB" w14:textId="77777777" w:rsidR="00141936" w:rsidRPr="00141936" w:rsidRDefault="00141936" w:rsidP="00141936">
      <w:pPr>
        <w:numPr>
          <w:ilvl w:val="0"/>
          <w:numId w:val="7"/>
        </w:numPr>
        <w:spacing w:after="160" w:line="259" w:lineRule="auto"/>
        <w:ind w:hanging="357"/>
        <w:contextualSpacing/>
        <w:jc w:val="both"/>
      </w:pPr>
      <w:r w:rsidRPr="00141936">
        <w:t>enables the Secretary of the Department of Social Services (effectively Centrelink) to advise a community body when a person has exited the CDC program;</w:t>
      </w:r>
    </w:p>
    <w:p w14:paraId="04F207A3" w14:textId="77777777" w:rsidR="00141936" w:rsidRPr="00141936" w:rsidRDefault="00141936" w:rsidP="00141936">
      <w:pPr>
        <w:numPr>
          <w:ilvl w:val="0"/>
          <w:numId w:val="7"/>
        </w:numPr>
        <w:spacing w:after="160" w:line="259" w:lineRule="auto"/>
        <w:ind w:hanging="357"/>
        <w:contextualSpacing/>
        <w:jc w:val="both"/>
      </w:pPr>
      <w:r w:rsidRPr="00141936">
        <w:t>enables the Minister for Social Services to determine “decision-making principles” which the Secretary of the Department of Social Services (hereafter “the Secretary”) must follow when deciding whether to approve an application to exit the CDC program on the basis that the person can demonstrate reasonable and responsible management of their affairs;</w:t>
      </w:r>
    </w:p>
    <w:p w14:paraId="541B98A8" w14:textId="77777777" w:rsidR="00141936" w:rsidRPr="00141936" w:rsidRDefault="00141936" w:rsidP="00141936">
      <w:pPr>
        <w:numPr>
          <w:ilvl w:val="0"/>
          <w:numId w:val="7"/>
        </w:numPr>
        <w:spacing w:after="160" w:line="259" w:lineRule="auto"/>
        <w:ind w:hanging="357"/>
        <w:contextualSpacing/>
        <w:jc w:val="both"/>
      </w:pPr>
      <w:r w:rsidRPr="00141936">
        <w:t>creates a new obligation for the Secretary to revoke an exit approval if they are no longer satisfied that a person can demonstrate responsible management of their affairs, and enables the Secretary to review and revoke a wellbeing exemption on the referral of a state or territory government employee;</w:t>
      </w:r>
    </w:p>
    <w:p w14:paraId="41BC57D2" w14:textId="77777777" w:rsidR="00141936" w:rsidRPr="00141936" w:rsidRDefault="00141936" w:rsidP="00141936">
      <w:pPr>
        <w:numPr>
          <w:ilvl w:val="0"/>
          <w:numId w:val="7"/>
        </w:numPr>
        <w:spacing w:after="160" w:line="259" w:lineRule="auto"/>
        <w:ind w:hanging="357"/>
        <w:contextualSpacing/>
        <w:jc w:val="both"/>
      </w:pPr>
      <w:r w:rsidRPr="00141936">
        <w:t>introduces a 60-day time limit for the determination of valid applications to exit the program on the basis of a participant’s ability to responsibly manage their affairs (after which an application is deemed to be approved);</w:t>
      </w:r>
    </w:p>
    <w:p w14:paraId="7181F79E" w14:textId="77777777" w:rsidR="00141936" w:rsidRPr="00141936" w:rsidRDefault="00141936" w:rsidP="00141936">
      <w:pPr>
        <w:numPr>
          <w:ilvl w:val="0"/>
          <w:numId w:val="7"/>
        </w:numPr>
        <w:spacing w:after="160" w:line="259" w:lineRule="auto"/>
        <w:ind w:hanging="357"/>
        <w:contextualSpacing/>
        <w:jc w:val="both"/>
      </w:pPr>
      <w:r w:rsidRPr="00141936">
        <w:t xml:space="preserve">provides that where a person is unable to demonstrate responsible management of their affairs, due to disability or caring responsibilities, they may still be eligible to exit the CDC program where the Secretary is nonetheless satisfied that the person has responsible management of their affairs;  </w:t>
      </w:r>
    </w:p>
    <w:p w14:paraId="22054A8F" w14:textId="77777777" w:rsidR="00141936" w:rsidRPr="00141936" w:rsidRDefault="00141936" w:rsidP="00141936">
      <w:pPr>
        <w:numPr>
          <w:ilvl w:val="0"/>
          <w:numId w:val="7"/>
        </w:numPr>
        <w:spacing w:after="160" w:line="259" w:lineRule="auto"/>
        <w:ind w:hanging="357"/>
        <w:contextualSpacing/>
        <w:jc w:val="both"/>
      </w:pPr>
      <w:r w:rsidRPr="00141936">
        <w:t>enables the Minister, via disallowable legislative instrument, to vary the percentage of income that is quarantined;</w:t>
      </w:r>
    </w:p>
    <w:p w14:paraId="400A01A1" w14:textId="77777777" w:rsidR="00141936" w:rsidRPr="00141936" w:rsidRDefault="00141936" w:rsidP="00141936">
      <w:pPr>
        <w:numPr>
          <w:ilvl w:val="0"/>
          <w:numId w:val="7"/>
        </w:numPr>
        <w:spacing w:after="160" w:line="259" w:lineRule="auto"/>
        <w:ind w:hanging="357"/>
        <w:contextualSpacing/>
        <w:jc w:val="both"/>
      </w:pPr>
      <w:r w:rsidRPr="00141936">
        <w:t>removes the requirement that any review of the CDC program be evaluated and that evaluation be tabled in Parliament;</w:t>
      </w:r>
    </w:p>
    <w:p w14:paraId="5AED415F" w14:textId="77777777" w:rsidR="00141936" w:rsidRPr="00141936" w:rsidRDefault="00141936" w:rsidP="00141936">
      <w:pPr>
        <w:numPr>
          <w:ilvl w:val="0"/>
          <w:numId w:val="7"/>
        </w:numPr>
        <w:spacing w:after="160" w:line="259" w:lineRule="auto"/>
        <w:ind w:hanging="357"/>
        <w:contextualSpacing/>
        <w:jc w:val="both"/>
      </w:pPr>
      <w:r w:rsidRPr="00141936">
        <w:t>extends the sunset date for Income Management in the Cape York area from 30 June 2020 to 31 December 2021 (to allow time for the transitioning of all Income Management to CDC in that area).</w:t>
      </w:r>
    </w:p>
    <w:p w14:paraId="2D66B6D1" w14:textId="77777777" w:rsidR="00B663E6" w:rsidRDefault="00B663E6" w:rsidP="00B663E6">
      <w:pPr>
        <w:ind w:left="3"/>
        <w:rPr>
          <w:lang w:val="en-US" w:eastAsia="en-US"/>
        </w:rPr>
      </w:pPr>
    </w:p>
    <w:p w14:paraId="68985702" w14:textId="26518C20" w:rsidR="00F77D10" w:rsidRDefault="003C24F8" w:rsidP="00F77D10">
      <w:r w:rsidRPr="00E5463C">
        <w:t xml:space="preserve">The information below </w:t>
      </w:r>
      <w:r>
        <w:t>sets out key elements of the amended legislation, as well as information</w:t>
      </w:r>
      <w:r w:rsidRPr="00E5463C">
        <w:t xml:space="preserve"> </w:t>
      </w:r>
      <w:r>
        <w:t xml:space="preserve">regarding the CDC program rollout in the NT and the Cape York area </w:t>
      </w:r>
      <w:r w:rsidR="00F77D10">
        <w:t xml:space="preserve">provided by the Departments of Social Services and </w:t>
      </w:r>
      <w:r w:rsidR="00F77D10" w:rsidRPr="00E5463C">
        <w:t>Services Australia</w:t>
      </w:r>
      <w:r w:rsidR="00F77D10">
        <w:t xml:space="preserve"> – including on its </w:t>
      </w:r>
      <w:r w:rsidR="00B663E6">
        <w:t>websites, at</w:t>
      </w:r>
      <w:r w:rsidR="00F77D10">
        <w:t>:</w:t>
      </w:r>
    </w:p>
    <w:p w14:paraId="32D96470" w14:textId="018DC22B" w:rsidR="00F77D10" w:rsidRPr="00F77D10" w:rsidRDefault="00745132" w:rsidP="00F77D10">
      <w:pPr>
        <w:pStyle w:val="ListParagraph"/>
        <w:numPr>
          <w:ilvl w:val="1"/>
          <w:numId w:val="8"/>
        </w:numPr>
        <w:rPr>
          <w:rFonts w:eastAsiaTheme="minorHAnsi" w:cstheme="minorBidi"/>
          <w:lang w:val="en-US" w:eastAsia="en-US"/>
        </w:rPr>
      </w:pPr>
      <w:hyperlink r:id="rId12" w:history="1">
        <w:r w:rsidR="00141936" w:rsidRPr="00F77D10">
          <w:rPr>
            <w:rStyle w:val="Hyperlink"/>
          </w:rPr>
          <w:t>https://www.servicesaustralia.gov.au/individuals/news/from-17-march-2021-cashless-debit-card-expanding</w:t>
        </w:r>
      </w:hyperlink>
      <w:r w:rsidR="00141936" w:rsidRPr="00F77D10">
        <w:rPr>
          <w:rStyle w:val="Hyperlink"/>
        </w:rPr>
        <w:t xml:space="preserve"> </w:t>
      </w:r>
      <w:r w:rsidR="003C24F8" w:rsidRPr="00F77D10">
        <w:t xml:space="preserve"> (accessed </w:t>
      </w:r>
      <w:r w:rsidR="00B663E6">
        <w:t>on</w:t>
      </w:r>
      <w:r w:rsidR="003C24F8" w:rsidRPr="00F77D10">
        <w:t xml:space="preserve"> </w:t>
      </w:r>
      <w:r w:rsidR="00141936" w:rsidRPr="00F77D10">
        <w:t>31</w:t>
      </w:r>
      <w:r w:rsidR="003C24F8" w:rsidRPr="00F77D10">
        <w:t xml:space="preserve"> March 2021)</w:t>
      </w:r>
    </w:p>
    <w:p w14:paraId="09C52DC6" w14:textId="77777777" w:rsidR="00B663E6" w:rsidRPr="00B663E6" w:rsidRDefault="00745132" w:rsidP="00F77D10">
      <w:pPr>
        <w:pStyle w:val="ListParagraph"/>
        <w:numPr>
          <w:ilvl w:val="1"/>
          <w:numId w:val="8"/>
        </w:numPr>
        <w:rPr>
          <w:rFonts w:eastAsiaTheme="minorHAnsi" w:cstheme="minorBidi"/>
          <w:lang w:val="en-US" w:eastAsia="en-US"/>
        </w:rPr>
      </w:pPr>
      <w:hyperlink r:id="rId13" w:history="1">
        <w:r w:rsidR="00141936" w:rsidRPr="00F77D10">
          <w:rPr>
            <w:rStyle w:val="Hyperlink"/>
          </w:rPr>
          <w:t>https://www.dss.gov.au/families-and-children/programmes-services/welfare-conditionality/cashless-debit-card-overview</w:t>
        </w:r>
      </w:hyperlink>
      <w:r w:rsidR="00141936" w:rsidRPr="00F77D10">
        <w:t xml:space="preserve"> (accessed at 31 March 2021)</w:t>
      </w:r>
    </w:p>
    <w:p w14:paraId="7C2A15A2" w14:textId="77777777" w:rsidR="00215A24" w:rsidRPr="00215A24" w:rsidRDefault="00215A24" w:rsidP="00215A24">
      <w:pPr>
        <w:pStyle w:val="subsection"/>
        <w:jc w:val="both"/>
        <w:rPr>
          <w:rFonts w:ascii="Barlow" w:hAnsi="Barlow"/>
        </w:rPr>
      </w:pPr>
    </w:p>
    <w:p w14:paraId="758CD385" w14:textId="77777777" w:rsidR="003C24F8" w:rsidRPr="007E4967" w:rsidRDefault="003C24F8" w:rsidP="00215A24">
      <w:pPr>
        <w:pStyle w:val="Heading3"/>
      </w:pPr>
      <w:bookmarkStart w:id="19" w:name="_Toc67933691"/>
      <w:r>
        <w:t>Existing t</w:t>
      </w:r>
      <w:r w:rsidRPr="007E4967">
        <w:t>rial areas</w:t>
      </w:r>
      <w:bookmarkEnd w:id="19"/>
    </w:p>
    <w:p w14:paraId="369B9645" w14:textId="77777777" w:rsidR="003C24F8" w:rsidRPr="007E4967" w:rsidRDefault="003C24F8" w:rsidP="00643073">
      <w:pPr>
        <w:pStyle w:val="ListParagraph"/>
        <w:numPr>
          <w:ilvl w:val="0"/>
          <w:numId w:val="2"/>
        </w:numPr>
        <w:spacing w:after="160" w:line="259" w:lineRule="auto"/>
        <w:jc w:val="both"/>
      </w:pPr>
      <w:r w:rsidRPr="007E4967">
        <w:t>The amendments mean that the Cashless Debit Card program will continue for a further two years in the existing trial locations of:</w:t>
      </w:r>
    </w:p>
    <w:p w14:paraId="09E09FC6" w14:textId="77777777" w:rsidR="003C24F8" w:rsidRPr="007E4967" w:rsidRDefault="003C24F8" w:rsidP="00643073">
      <w:pPr>
        <w:pStyle w:val="ListParagraph"/>
        <w:numPr>
          <w:ilvl w:val="1"/>
          <w:numId w:val="2"/>
        </w:numPr>
        <w:spacing w:after="160" w:line="259" w:lineRule="auto"/>
        <w:jc w:val="both"/>
      </w:pPr>
      <w:r w:rsidRPr="007E4967">
        <w:t>The Ceduna area</w:t>
      </w:r>
    </w:p>
    <w:p w14:paraId="095E2615" w14:textId="77777777" w:rsidR="003C24F8" w:rsidRPr="008723E8" w:rsidRDefault="003C24F8" w:rsidP="00643073">
      <w:pPr>
        <w:pStyle w:val="ListParagraph"/>
        <w:numPr>
          <w:ilvl w:val="1"/>
          <w:numId w:val="2"/>
        </w:numPr>
        <w:spacing w:after="160" w:line="259" w:lineRule="auto"/>
        <w:jc w:val="both"/>
      </w:pPr>
      <w:r>
        <w:t xml:space="preserve">The </w:t>
      </w:r>
      <w:r w:rsidRPr="008723E8">
        <w:t xml:space="preserve">East Kimberley </w:t>
      </w:r>
      <w:r>
        <w:t>area</w:t>
      </w:r>
    </w:p>
    <w:p w14:paraId="7BE79B1D" w14:textId="77777777" w:rsidR="003C24F8" w:rsidRDefault="003C24F8" w:rsidP="00643073">
      <w:pPr>
        <w:pStyle w:val="ListParagraph"/>
        <w:numPr>
          <w:ilvl w:val="1"/>
          <w:numId w:val="2"/>
        </w:numPr>
        <w:spacing w:after="160" w:line="259" w:lineRule="auto"/>
        <w:jc w:val="both"/>
      </w:pPr>
      <w:r>
        <w:t>The G</w:t>
      </w:r>
      <w:r w:rsidRPr="008723E8">
        <w:t>oldfields</w:t>
      </w:r>
      <w:r>
        <w:t xml:space="preserve"> area</w:t>
      </w:r>
    </w:p>
    <w:p w14:paraId="7F369D2B" w14:textId="77777777" w:rsidR="003C24F8" w:rsidRDefault="003C24F8" w:rsidP="00643073">
      <w:pPr>
        <w:pStyle w:val="ListParagraph"/>
        <w:numPr>
          <w:ilvl w:val="1"/>
          <w:numId w:val="2"/>
        </w:numPr>
        <w:spacing w:after="160" w:line="259" w:lineRule="auto"/>
        <w:jc w:val="both"/>
      </w:pPr>
      <w:r>
        <w:t xml:space="preserve">The </w:t>
      </w:r>
      <w:r w:rsidRPr="008723E8">
        <w:t>Bundaberg and Hervey Bay area</w:t>
      </w:r>
      <w:r>
        <w:t>.</w:t>
      </w:r>
    </w:p>
    <w:p w14:paraId="6D3881B7" w14:textId="77777777" w:rsidR="003C24F8" w:rsidRPr="007E4967" w:rsidRDefault="003C24F8" w:rsidP="00643073">
      <w:pPr>
        <w:pStyle w:val="ListParagraph"/>
        <w:numPr>
          <w:ilvl w:val="0"/>
          <w:numId w:val="2"/>
        </w:numPr>
        <w:spacing w:after="160" w:line="259" w:lineRule="auto"/>
        <w:jc w:val="both"/>
      </w:pPr>
      <w:r w:rsidRPr="007E4967">
        <w:t xml:space="preserve">The “program participant” criteria for compulsory participation in the CDC program for each of these </w:t>
      </w:r>
      <w:r>
        <w:t xml:space="preserve">existing CDC program </w:t>
      </w:r>
      <w:r w:rsidRPr="007E4967">
        <w:t xml:space="preserve">areas </w:t>
      </w:r>
      <w:r>
        <w:t>are</w:t>
      </w:r>
      <w:r w:rsidRPr="007E4967">
        <w:t xml:space="preserve"> set out separately in the Social Security Administration Act:</w:t>
      </w:r>
    </w:p>
    <w:p w14:paraId="2BD53681" w14:textId="77777777" w:rsidR="003C24F8" w:rsidRPr="007E4967" w:rsidRDefault="003C24F8" w:rsidP="00643073">
      <w:pPr>
        <w:pStyle w:val="ListParagraph"/>
        <w:numPr>
          <w:ilvl w:val="1"/>
          <w:numId w:val="2"/>
        </w:numPr>
        <w:spacing w:after="160" w:line="259" w:lineRule="auto"/>
        <w:jc w:val="both"/>
      </w:pPr>
      <w:bookmarkStart w:id="20" w:name="_Toc67310245"/>
      <w:r w:rsidRPr="007E4967">
        <w:t>124PG—Ceduna area</w:t>
      </w:r>
      <w:bookmarkEnd w:id="20"/>
    </w:p>
    <w:p w14:paraId="2D98B16E" w14:textId="77777777" w:rsidR="003C24F8" w:rsidRPr="007E4967" w:rsidRDefault="003C24F8" w:rsidP="00643073">
      <w:pPr>
        <w:pStyle w:val="ListParagraph"/>
        <w:numPr>
          <w:ilvl w:val="1"/>
          <w:numId w:val="2"/>
        </w:numPr>
        <w:spacing w:after="160" w:line="259" w:lineRule="auto"/>
        <w:jc w:val="both"/>
      </w:pPr>
      <w:bookmarkStart w:id="21" w:name="_Toc67310246"/>
      <w:r w:rsidRPr="007E4967">
        <w:t>124PGA—East Kimberley area</w:t>
      </w:r>
      <w:bookmarkEnd w:id="21"/>
    </w:p>
    <w:p w14:paraId="55DB9623" w14:textId="77777777" w:rsidR="003C24F8" w:rsidRPr="007E4967" w:rsidRDefault="003C24F8" w:rsidP="00643073">
      <w:pPr>
        <w:pStyle w:val="ListParagraph"/>
        <w:numPr>
          <w:ilvl w:val="1"/>
          <w:numId w:val="2"/>
        </w:numPr>
        <w:spacing w:after="160" w:line="259" w:lineRule="auto"/>
        <w:jc w:val="both"/>
      </w:pPr>
      <w:bookmarkStart w:id="22" w:name="_Toc67310247"/>
      <w:r w:rsidRPr="007E4967">
        <w:t>124PGB—Goldfields area</w:t>
      </w:r>
      <w:bookmarkEnd w:id="22"/>
    </w:p>
    <w:p w14:paraId="641B9A00" w14:textId="77777777" w:rsidR="003C24F8" w:rsidRPr="007E4967" w:rsidRDefault="003C24F8" w:rsidP="00643073">
      <w:pPr>
        <w:pStyle w:val="ListParagraph"/>
        <w:numPr>
          <w:ilvl w:val="1"/>
          <w:numId w:val="2"/>
        </w:numPr>
        <w:spacing w:after="160" w:line="259" w:lineRule="auto"/>
        <w:jc w:val="both"/>
      </w:pPr>
      <w:bookmarkStart w:id="23" w:name="_Toc67310248"/>
      <w:r w:rsidRPr="007E4967">
        <w:t>124PGC—Bundaberg and Hervey Bay area</w:t>
      </w:r>
      <w:bookmarkEnd w:id="23"/>
      <w:r w:rsidRPr="007E4967">
        <w:t>.</w:t>
      </w:r>
    </w:p>
    <w:p w14:paraId="11EFD150" w14:textId="77777777" w:rsidR="003C24F8" w:rsidRPr="007E4967" w:rsidRDefault="003C24F8" w:rsidP="00643073">
      <w:pPr>
        <w:pStyle w:val="ListParagraph"/>
        <w:numPr>
          <w:ilvl w:val="0"/>
          <w:numId w:val="2"/>
        </w:numPr>
        <w:spacing w:after="160" w:line="259" w:lineRule="auto"/>
        <w:jc w:val="both"/>
      </w:pPr>
      <w:r>
        <w:t>Under the amended legislation, people in the Bundaberg and Hervey Bay area may now voluntarily participate in the program, unless subject to Income Management.</w:t>
      </w:r>
    </w:p>
    <w:p w14:paraId="383D9F56" w14:textId="77777777" w:rsidR="003C24F8" w:rsidRDefault="003C24F8" w:rsidP="003C24F8">
      <w:pPr>
        <w:tabs>
          <w:tab w:val="num" w:pos="720"/>
        </w:tabs>
        <w:jc w:val="both"/>
        <w:rPr>
          <w:b/>
          <w:color w:val="ED7D31" w:themeColor="accent2"/>
          <w:sz w:val="28"/>
          <w:szCs w:val="28"/>
        </w:rPr>
      </w:pPr>
    </w:p>
    <w:p w14:paraId="2F1685B4" w14:textId="77777777" w:rsidR="003C24F8" w:rsidRPr="007E4967" w:rsidRDefault="003C24F8" w:rsidP="00215A24">
      <w:pPr>
        <w:pStyle w:val="Heading3"/>
      </w:pPr>
      <w:bookmarkStart w:id="24" w:name="_Toc67933692"/>
      <w:r w:rsidRPr="008501B0">
        <w:t xml:space="preserve">The </w:t>
      </w:r>
      <w:r w:rsidRPr="007E4967">
        <w:t>Northern Territory</w:t>
      </w:r>
      <w:bookmarkEnd w:id="24"/>
      <w:r w:rsidRPr="007E4967">
        <w:t xml:space="preserve"> </w:t>
      </w:r>
    </w:p>
    <w:p w14:paraId="0E140D9B" w14:textId="77777777" w:rsidR="003C24F8" w:rsidRDefault="003C24F8" w:rsidP="00643073">
      <w:pPr>
        <w:pStyle w:val="ListParagraph"/>
        <w:numPr>
          <w:ilvl w:val="0"/>
          <w:numId w:val="2"/>
        </w:numPr>
        <w:spacing w:after="160" w:line="259" w:lineRule="auto"/>
        <w:jc w:val="both"/>
      </w:pPr>
      <w:r>
        <w:t>From 17 March 2021 t</w:t>
      </w:r>
      <w:r w:rsidRPr="007E4967">
        <w:t>he whole of the NT is a CDC program area.</w:t>
      </w:r>
    </w:p>
    <w:p w14:paraId="325AA42A" w14:textId="77777777" w:rsidR="003C24F8" w:rsidRPr="007E4967" w:rsidRDefault="003C24F8" w:rsidP="00643073">
      <w:pPr>
        <w:pStyle w:val="ListParagraph"/>
        <w:numPr>
          <w:ilvl w:val="0"/>
          <w:numId w:val="2"/>
        </w:numPr>
        <w:spacing w:after="160" w:line="259" w:lineRule="auto"/>
        <w:jc w:val="both"/>
      </w:pPr>
      <w:bookmarkStart w:id="25" w:name="_Toc67933693"/>
      <w:r w:rsidRPr="00531C7F">
        <w:rPr>
          <w:rStyle w:val="Heading5Char"/>
        </w:rPr>
        <w:t>Solely opt-in or voluntary program</w:t>
      </w:r>
      <w:bookmarkEnd w:id="25"/>
      <w:r w:rsidRPr="007E4967">
        <w:t>:</w:t>
      </w:r>
      <w:r w:rsidRPr="007E4967">
        <w:rPr>
          <w:b/>
        </w:rPr>
        <w:t xml:space="preserve"> </w:t>
      </w:r>
      <w:r w:rsidRPr="007E4967">
        <w:t xml:space="preserve">The notable distinction between the CDC program in the NT and other </w:t>
      </w:r>
      <w:r>
        <w:t xml:space="preserve">CDC program </w:t>
      </w:r>
      <w:r w:rsidRPr="007E4967">
        <w:t xml:space="preserve">areas, is that a person must make a </w:t>
      </w:r>
      <w:r w:rsidRPr="007E4967">
        <w:rPr>
          <w:b/>
        </w:rPr>
        <w:t xml:space="preserve">request </w:t>
      </w:r>
      <w:r w:rsidRPr="007E4967">
        <w:t>to become a program participant - on an opt-in basis for people subject to Income Management; and on a voluntary basis for people who are not subject to Income Management.</w:t>
      </w:r>
    </w:p>
    <w:p w14:paraId="5A58A337" w14:textId="77777777" w:rsidR="003C24F8" w:rsidRPr="007E4967" w:rsidRDefault="003C24F8" w:rsidP="00643073">
      <w:pPr>
        <w:pStyle w:val="ListParagraph"/>
        <w:numPr>
          <w:ilvl w:val="0"/>
          <w:numId w:val="2"/>
        </w:numPr>
        <w:spacing w:after="160" w:line="259" w:lineRule="auto"/>
        <w:jc w:val="both"/>
      </w:pPr>
      <w:bookmarkStart w:id="26" w:name="_Toc67933694"/>
      <w:r w:rsidRPr="00531C7F">
        <w:rPr>
          <w:rStyle w:val="Heading5Char"/>
        </w:rPr>
        <w:t>Concurrent Income Management program</w:t>
      </w:r>
      <w:bookmarkEnd w:id="26"/>
      <w:r w:rsidRPr="007E4967">
        <w:rPr>
          <w:b/>
        </w:rPr>
        <w:t>:</w:t>
      </w:r>
      <w:r>
        <w:t xml:space="preserve"> </w:t>
      </w:r>
      <w:r w:rsidRPr="007E4967">
        <w:t>The NT CDC program will operate concurrently with the NT Income Management program. The Federal Government sought to replace Income Management with the CDC program entirely, and forcefully transition all Income Management participants in the NT to the CDC, but it was not able to pass legislation to that effect. The opt-in / voluntary model is the resulting compromise which Parliament approved.</w:t>
      </w:r>
    </w:p>
    <w:p w14:paraId="157A6B85" w14:textId="77777777" w:rsidR="003C24F8" w:rsidRPr="00417225" w:rsidRDefault="003C24F8" w:rsidP="00643073">
      <w:pPr>
        <w:pStyle w:val="ListParagraph"/>
        <w:numPr>
          <w:ilvl w:val="0"/>
          <w:numId w:val="2"/>
        </w:numPr>
        <w:spacing w:after="160" w:line="259" w:lineRule="auto"/>
        <w:jc w:val="both"/>
      </w:pPr>
      <w:bookmarkStart w:id="27" w:name="_Toc67933695"/>
      <w:r w:rsidRPr="00531C7F">
        <w:rPr>
          <w:rStyle w:val="Heading5Char"/>
        </w:rPr>
        <w:t>Option to transition from IM to the CDC program</w:t>
      </w:r>
      <w:bookmarkEnd w:id="27"/>
      <w:r w:rsidRPr="007E4967">
        <w:rPr>
          <w:b/>
        </w:rPr>
        <w:t>:</w:t>
      </w:r>
      <w:r w:rsidRPr="007E4967">
        <w:t xml:space="preserve"> From 17 March 2021, people on Income </w:t>
      </w:r>
      <w:r>
        <w:t>M</w:t>
      </w:r>
      <w:r w:rsidRPr="007E4967">
        <w:t>anagement</w:t>
      </w:r>
      <w:r w:rsidRPr="00417225">
        <w:t xml:space="preserve"> in the NT can opt to transfer from Income Management to the CDC program:</w:t>
      </w:r>
    </w:p>
    <w:p w14:paraId="147B8E6F" w14:textId="77777777" w:rsidR="003C24F8" w:rsidRDefault="003C24F8" w:rsidP="00643073">
      <w:pPr>
        <w:pStyle w:val="ListParagraph"/>
        <w:numPr>
          <w:ilvl w:val="1"/>
          <w:numId w:val="2"/>
        </w:numPr>
        <w:spacing w:after="160" w:line="259" w:lineRule="auto"/>
        <w:jc w:val="both"/>
      </w:pPr>
      <w:r>
        <w:t xml:space="preserve">People transitioning </w:t>
      </w:r>
      <w:r w:rsidRPr="00EF2E94">
        <w:t>from Income Management</w:t>
      </w:r>
      <w:r>
        <w:t xml:space="preserve"> will</w:t>
      </w:r>
      <w:r w:rsidRPr="00EF2E94">
        <w:t xml:space="preserve"> need to </w:t>
      </w:r>
      <w:r>
        <w:t xml:space="preserve">make a request to the Secretary (i.e. to Centrelink) to be transferred. In practice this will involve calling the Cashless Debit Card hotline operated by Centrelink. </w:t>
      </w:r>
    </w:p>
    <w:p w14:paraId="6313E5E1" w14:textId="77777777" w:rsidR="003C24F8" w:rsidRDefault="003C24F8" w:rsidP="00643073">
      <w:pPr>
        <w:pStyle w:val="ListParagraph"/>
        <w:numPr>
          <w:ilvl w:val="1"/>
          <w:numId w:val="2"/>
        </w:numPr>
        <w:spacing w:after="160" w:line="259" w:lineRule="auto"/>
        <w:jc w:val="both"/>
      </w:pPr>
      <w:r w:rsidRPr="00ED6583">
        <w:t xml:space="preserve">People </w:t>
      </w:r>
      <w:r w:rsidRPr="00527A59">
        <w:t xml:space="preserve">transitioning </w:t>
      </w:r>
      <w:r w:rsidRPr="0004188E">
        <w:t>to the CDC</w:t>
      </w:r>
      <w:r w:rsidRPr="00D76964">
        <w:t xml:space="preserve"> will not be able to opt to </w:t>
      </w:r>
      <w:r w:rsidRPr="00913271">
        <w:t>switch back to Income Management.</w:t>
      </w:r>
    </w:p>
    <w:p w14:paraId="0D66D35D" w14:textId="77777777" w:rsidR="003C24F8" w:rsidRDefault="003C24F8" w:rsidP="00643073">
      <w:pPr>
        <w:pStyle w:val="ListParagraph"/>
        <w:numPr>
          <w:ilvl w:val="2"/>
          <w:numId w:val="2"/>
        </w:numPr>
        <w:spacing w:after="160" w:line="259" w:lineRule="auto"/>
        <w:jc w:val="both"/>
      </w:pPr>
      <w:r>
        <w:t>E</w:t>
      </w:r>
      <w:r w:rsidRPr="00913271">
        <w:t xml:space="preserve">ven if a person stops being subject to compulsory incoming quarantining for a period of time (for example, if they exit the program or stop receiving </w:t>
      </w:r>
      <w:r w:rsidRPr="009A031F">
        <w:t>Centrelink</w:t>
      </w:r>
      <w:r w:rsidRPr="008501B0">
        <w:t xml:space="preserve"> income support), they will not be able to choose to return to Income Management in the future, even though Income Management is ongoing in the NT.</w:t>
      </w:r>
    </w:p>
    <w:p w14:paraId="3CC75C78" w14:textId="77777777" w:rsidR="003C24F8" w:rsidRPr="008501B0" w:rsidRDefault="003C24F8" w:rsidP="00643073">
      <w:pPr>
        <w:pStyle w:val="ListParagraph"/>
        <w:numPr>
          <w:ilvl w:val="2"/>
          <w:numId w:val="2"/>
        </w:numPr>
        <w:spacing w:after="160" w:line="259" w:lineRule="auto"/>
        <w:jc w:val="both"/>
      </w:pPr>
      <w:r w:rsidRPr="008501B0">
        <w:t xml:space="preserve">However, if the CDC program is not extended beyond the current sunset date, people who have transitioned from Income Management to the CDC program will be put back onto Income Management at that time. </w:t>
      </w:r>
    </w:p>
    <w:p w14:paraId="47333E96" w14:textId="5C06CCA3" w:rsidR="003C24F8" w:rsidRPr="007E4967" w:rsidRDefault="003C24F8" w:rsidP="00643073">
      <w:pPr>
        <w:pStyle w:val="ListParagraph"/>
        <w:numPr>
          <w:ilvl w:val="1"/>
          <w:numId w:val="2"/>
        </w:numPr>
        <w:spacing w:after="160" w:line="259" w:lineRule="auto"/>
        <w:jc w:val="both"/>
      </w:pPr>
      <w:r w:rsidRPr="007E4967">
        <w:lastRenderedPageBreak/>
        <w:t>In the NT, there are three categories of criteria for participation in the CDC program. While these criteria largely replicate the criteria for Income Management, there are some key differences. The categories are:</w:t>
      </w:r>
    </w:p>
    <w:p w14:paraId="13F4D5EA" w14:textId="5124ECD7" w:rsidR="003C24F8" w:rsidRPr="007E4967" w:rsidRDefault="00821BC1" w:rsidP="00643073">
      <w:pPr>
        <w:pStyle w:val="ListParagraph"/>
        <w:numPr>
          <w:ilvl w:val="2"/>
          <w:numId w:val="2"/>
        </w:numPr>
        <w:spacing w:after="160" w:line="259" w:lineRule="auto"/>
        <w:jc w:val="both"/>
      </w:pPr>
      <w:r>
        <w:t>people meeting general requirements relating to income support payments</w:t>
      </w:r>
      <w:r w:rsidR="003C24F8">
        <w:t xml:space="preserve"> (t</w:t>
      </w:r>
      <w:r w:rsidR="003C24F8" w:rsidRPr="00AD5268">
        <w:t>his general category collapses the ‘disengaged youth’ and ‘long term recipient’ categories of Income Management criteria, but does not include the threshold relating to the length of time a person has received payments</w:t>
      </w:r>
      <w:r w:rsidR="003C24F8">
        <w:t>)</w:t>
      </w:r>
      <w:r>
        <w:t xml:space="preserve"> (referred to in this document as a </w:t>
      </w:r>
      <w:r>
        <w:rPr>
          <w:b/>
          <w:bCs w:val="0"/>
        </w:rPr>
        <w:t>general program participant</w:t>
      </w:r>
      <w:r>
        <w:t>)</w:t>
      </w:r>
      <w:r w:rsidR="003C24F8" w:rsidRPr="007E4967">
        <w:t>;</w:t>
      </w:r>
    </w:p>
    <w:p w14:paraId="32BF282F" w14:textId="781F0122" w:rsidR="003C24F8" w:rsidRPr="007E4967" w:rsidRDefault="00821BC1" w:rsidP="00643073">
      <w:pPr>
        <w:pStyle w:val="ListParagraph"/>
        <w:numPr>
          <w:ilvl w:val="2"/>
          <w:numId w:val="2"/>
        </w:numPr>
        <w:spacing w:after="160" w:line="259" w:lineRule="auto"/>
        <w:jc w:val="both"/>
      </w:pPr>
      <w:r>
        <w:t xml:space="preserve">people referred to the </w:t>
      </w:r>
      <w:r w:rsidR="00775E90">
        <w:t>p</w:t>
      </w:r>
      <w:r>
        <w:t xml:space="preserve">rogram by a child protection officer (referred to in this document as a </w:t>
      </w:r>
      <w:r w:rsidR="003C24F8" w:rsidRPr="00141936">
        <w:rPr>
          <w:b/>
          <w:bCs w:val="0"/>
        </w:rPr>
        <w:t>child protection program participant</w:t>
      </w:r>
      <w:r>
        <w:rPr>
          <w:b/>
          <w:bCs w:val="0"/>
        </w:rPr>
        <w:t>)</w:t>
      </w:r>
      <w:r w:rsidR="003C24F8" w:rsidRPr="007E4967">
        <w:t xml:space="preserve">; </w:t>
      </w:r>
      <w:r>
        <w:t>and</w:t>
      </w:r>
    </w:p>
    <w:p w14:paraId="04ACBDAB" w14:textId="60B1EDF0" w:rsidR="00B663E6" w:rsidRDefault="00821BC1" w:rsidP="00B663E6">
      <w:pPr>
        <w:pStyle w:val="ListParagraph"/>
        <w:numPr>
          <w:ilvl w:val="2"/>
          <w:numId w:val="2"/>
        </w:numPr>
        <w:spacing w:after="160" w:line="259" w:lineRule="auto"/>
        <w:jc w:val="both"/>
      </w:pPr>
      <w:r>
        <w:t xml:space="preserve">people designated as </w:t>
      </w:r>
      <w:r w:rsidR="003C24F8" w:rsidRPr="007E4967">
        <w:t>‘vulnerable welfare</w:t>
      </w:r>
      <w:r>
        <w:t xml:space="preserve"> payment recipients</w:t>
      </w:r>
      <w:r w:rsidR="003C24F8" w:rsidRPr="007E4967">
        <w:t xml:space="preserve">’ </w:t>
      </w:r>
      <w:r>
        <w:t xml:space="preserve">(referred to in this document as </w:t>
      </w:r>
      <w:r>
        <w:rPr>
          <w:b/>
          <w:bCs w:val="0"/>
        </w:rPr>
        <w:t xml:space="preserve">vulnerable welfare recipient </w:t>
      </w:r>
      <w:r w:rsidR="003C24F8" w:rsidRPr="007E4967">
        <w:t xml:space="preserve">program </w:t>
      </w:r>
      <w:r w:rsidRPr="00141936">
        <w:rPr>
          <w:b/>
          <w:bCs w:val="0"/>
        </w:rPr>
        <w:t>participant</w:t>
      </w:r>
      <w:r>
        <w:t>)</w:t>
      </w:r>
      <w:r w:rsidR="003C24F8" w:rsidRPr="007E4967">
        <w:t xml:space="preserve">. </w:t>
      </w:r>
    </w:p>
    <w:p w14:paraId="32006B4C" w14:textId="276FBCDA" w:rsidR="003C24F8" w:rsidRPr="007E4967" w:rsidRDefault="003C24F8" w:rsidP="00643073">
      <w:pPr>
        <w:pStyle w:val="ListParagraph"/>
        <w:numPr>
          <w:ilvl w:val="1"/>
          <w:numId w:val="2"/>
        </w:numPr>
        <w:spacing w:after="160" w:line="259" w:lineRule="auto"/>
        <w:jc w:val="both"/>
      </w:pPr>
      <w:r w:rsidRPr="007E4967">
        <w:t>A person is a</w:t>
      </w:r>
      <w:r w:rsidRPr="007E4967">
        <w:rPr>
          <w:b/>
        </w:rPr>
        <w:t xml:space="preserve"> general program participant</w:t>
      </w:r>
      <w:r w:rsidRPr="007E4967">
        <w:t xml:space="preserve"> if:</w:t>
      </w:r>
    </w:p>
    <w:p w14:paraId="55211E52" w14:textId="77777777" w:rsidR="003C24F8" w:rsidRPr="007E4967" w:rsidRDefault="003C24F8" w:rsidP="00643073">
      <w:pPr>
        <w:pStyle w:val="ListParagraph"/>
        <w:numPr>
          <w:ilvl w:val="2"/>
          <w:numId w:val="2"/>
        </w:numPr>
        <w:spacing w:after="160" w:line="259" w:lineRule="auto"/>
        <w:jc w:val="both"/>
      </w:pPr>
      <w:r w:rsidRPr="007E4967">
        <w:t>the person usually lives in the NT;</w:t>
      </w:r>
    </w:p>
    <w:p w14:paraId="72951637" w14:textId="77777777" w:rsidR="003C24F8" w:rsidRPr="00AD5268" w:rsidRDefault="003C24F8" w:rsidP="00643073">
      <w:pPr>
        <w:pStyle w:val="ListParagraph"/>
        <w:numPr>
          <w:ilvl w:val="2"/>
          <w:numId w:val="2"/>
        </w:numPr>
        <w:spacing w:after="160" w:line="259" w:lineRule="auto"/>
        <w:jc w:val="both"/>
      </w:pPr>
      <w:r w:rsidRPr="007E4967">
        <w:t>the person is an eligible recipient of a specified Centrelink payment;</w:t>
      </w:r>
    </w:p>
    <w:p w14:paraId="5C82216F" w14:textId="77777777" w:rsidR="003C24F8" w:rsidRPr="00AD5268" w:rsidRDefault="003C24F8" w:rsidP="00643073">
      <w:pPr>
        <w:pStyle w:val="ListParagraph"/>
        <w:numPr>
          <w:ilvl w:val="2"/>
          <w:numId w:val="2"/>
        </w:numPr>
        <w:spacing w:after="160" w:line="259" w:lineRule="auto"/>
        <w:jc w:val="both"/>
      </w:pPr>
      <w:r w:rsidRPr="00AD5268">
        <w:t>the person has not reached pension age;</w:t>
      </w:r>
    </w:p>
    <w:p w14:paraId="07497712" w14:textId="77777777" w:rsidR="003C24F8" w:rsidRPr="00AD5268" w:rsidRDefault="003C24F8" w:rsidP="00643073">
      <w:pPr>
        <w:pStyle w:val="ListParagraph"/>
        <w:numPr>
          <w:ilvl w:val="2"/>
          <w:numId w:val="2"/>
        </w:numPr>
        <w:spacing w:after="160" w:line="259" w:lineRule="auto"/>
        <w:jc w:val="both"/>
      </w:pPr>
      <w:r w:rsidRPr="00AD5268">
        <w:t>the person is not undertaking full time study;</w:t>
      </w:r>
    </w:p>
    <w:p w14:paraId="2869958D" w14:textId="58A80C76" w:rsidR="003C24F8" w:rsidRPr="00AD5268" w:rsidRDefault="00775E90" w:rsidP="00643073">
      <w:pPr>
        <w:pStyle w:val="ListParagraph"/>
        <w:numPr>
          <w:ilvl w:val="2"/>
          <w:numId w:val="2"/>
        </w:numPr>
        <w:spacing w:after="160" w:line="259" w:lineRule="auto"/>
        <w:jc w:val="both"/>
      </w:pPr>
      <w:r>
        <w:t xml:space="preserve">if </w:t>
      </w:r>
      <w:r w:rsidR="003C24F8" w:rsidRPr="00AD5268">
        <w:t>the person has a payment nominee, that nominee is subject to income management or CDC;</w:t>
      </w:r>
    </w:p>
    <w:p w14:paraId="759B1BE9" w14:textId="77777777" w:rsidR="003C24F8" w:rsidRPr="00AD5268" w:rsidRDefault="003C24F8" w:rsidP="00643073">
      <w:pPr>
        <w:pStyle w:val="ListParagraph"/>
        <w:numPr>
          <w:ilvl w:val="2"/>
          <w:numId w:val="2"/>
        </w:numPr>
        <w:spacing w:after="160" w:line="259" w:lineRule="auto"/>
        <w:jc w:val="both"/>
      </w:pPr>
      <w:r w:rsidRPr="00AD5268">
        <w:t xml:space="preserve">the person has made a </w:t>
      </w:r>
      <w:r w:rsidRPr="007E4967">
        <w:t xml:space="preserve">request </w:t>
      </w:r>
      <w:r w:rsidRPr="00AD5268">
        <w:t>to become a program participant;</w:t>
      </w:r>
    </w:p>
    <w:p w14:paraId="5A8AA3BE" w14:textId="77777777" w:rsidR="003C24F8" w:rsidRPr="00AD5268" w:rsidRDefault="003C24F8" w:rsidP="00643073">
      <w:pPr>
        <w:pStyle w:val="ListParagraph"/>
        <w:numPr>
          <w:ilvl w:val="2"/>
          <w:numId w:val="2"/>
        </w:numPr>
        <w:spacing w:after="160" w:line="259" w:lineRule="auto"/>
        <w:jc w:val="both"/>
      </w:pPr>
      <w:r w:rsidRPr="00AD5268">
        <w:t xml:space="preserve">the Secretary has given the person a notice that they are now a program participant; </w:t>
      </w:r>
    </w:p>
    <w:p w14:paraId="13B891A8" w14:textId="77777777" w:rsidR="003C24F8" w:rsidRPr="00AD5268" w:rsidRDefault="003C24F8" w:rsidP="00643073">
      <w:pPr>
        <w:pStyle w:val="ListParagraph"/>
        <w:numPr>
          <w:ilvl w:val="2"/>
          <w:numId w:val="2"/>
        </w:numPr>
        <w:spacing w:after="160" w:line="259" w:lineRule="auto"/>
        <w:jc w:val="both"/>
      </w:pPr>
      <w:r w:rsidRPr="00AD5268">
        <w:t>the person is, or has been, subject to Income Management; and</w:t>
      </w:r>
    </w:p>
    <w:p w14:paraId="2AB8A782" w14:textId="77777777" w:rsidR="003C24F8" w:rsidRPr="007E4967" w:rsidRDefault="003C24F8" w:rsidP="00643073">
      <w:pPr>
        <w:pStyle w:val="ListParagraph"/>
        <w:numPr>
          <w:ilvl w:val="2"/>
          <w:numId w:val="2"/>
        </w:numPr>
        <w:spacing w:after="160" w:line="259" w:lineRule="auto"/>
        <w:jc w:val="both"/>
      </w:pPr>
      <w:r w:rsidRPr="00AD5268">
        <w:t xml:space="preserve">the person has not been approved to exit or be exempt from the CDC program.    </w:t>
      </w:r>
    </w:p>
    <w:p w14:paraId="08FEF907" w14:textId="231549E6" w:rsidR="003C24F8" w:rsidRPr="00AD5268" w:rsidRDefault="003C24F8" w:rsidP="00643073">
      <w:pPr>
        <w:numPr>
          <w:ilvl w:val="1"/>
          <w:numId w:val="2"/>
        </w:numPr>
        <w:spacing w:after="160" w:line="259" w:lineRule="auto"/>
        <w:contextualSpacing/>
        <w:jc w:val="both"/>
        <w:rPr>
          <w:bCs w:val="0"/>
        </w:rPr>
      </w:pPr>
      <w:r>
        <w:t xml:space="preserve">A </w:t>
      </w:r>
      <w:r w:rsidR="00215A24">
        <w:t>person is a</w:t>
      </w:r>
      <w:r w:rsidRPr="00AD5268">
        <w:rPr>
          <w:b/>
        </w:rPr>
        <w:t xml:space="preserve"> child protection program participant</w:t>
      </w:r>
      <w:r w:rsidRPr="00AD5268">
        <w:t xml:space="preserve"> if:</w:t>
      </w:r>
    </w:p>
    <w:p w14:paraId="38A42A01" w14:textId="77777777" w:rsidR="003C24F8" w:rsidRPr="00AD5268" w:rsidRDefault="003C24F8" w:rsidP="00643073">
      <w:pPr>
        <w:pStyle w:val="ListParagraph"/>
        <w:numPr>
          <w:ilvl w:val="2"/>
          <w:numId w:val="2"/>
        </w:numPr>
        <w:spacing w:after="160" w:line="259" w:lineRule="auto"/>
        <w:jc w:val="both"/>
      </w:pPr>
      <w:r w:rsidRPr="00AD5268">
        <w:t>the person usually lives in the NT;</w:t>
      </w:r>
    </w:p>
    <w:p w14:paraId="0CEC4581" w14:textId="2647DC8D" w:rsidR="003C24F8" w:rsidRPr="00AD5268" w:rsidRDefault="003C24F8" w:rsidP="00643073">
      <w:pPr>
        <w:pStyle w:val="ListParagraph"/>
        <w:numPr>
          <w:ilvl w:val="2"/>
          <w:numId w:val="2"/>
        </w:numPr>
        <w:spacing w:after="160" w:line="259" w:lineRule="auto"/>
        <w:jc w:val="both"/>
      </w:pPr>
      <w:r w:rsidRPr="007E4967">
        <w:t xml:space="preserve">the person, or the person’s partner, is an eligible recipient of </w:t>
      </w:r>
      <w:r w:rsidR="00775E90">
        <w:t xml:space="preserve">a </w:t>
      </w:r>
      <w:r w:rsidRPr="007E4967">
        <w:t>specified Centrelink payment;</w:t>
      </w:r>
    </w:p>
    <w:p w14:paraId="5F3310DF" w14:textId="77777777" w:rsidR="003C24F8" w:rsidRPr="00AD5268" w:rsidRDefault="003C24F8" w:rsidP="00643073">
      <w:pPr>
        <w:pStyle w:val="ListParagraph"/>
        <w:numPr>
          <w:ilvl w:val="2"/>
          <w:numId w:val="2"/>
        </w:numPr>
        <w:spacing w:after="160" w:line="259" w:lineRule="auto"/>
        <w:jc w:val="both"/>
      </w:pPr>
      <w:r w:rsidRPr="00AD5268">
        <w:t>the person has not reached pension age;</w:t>
      </w:r>
    </w:p>
    <w:p w14:paraId="451B1EE4" w14:textId="5D56A7F6" w:rsidR="003C24F8" w:rsidRPr="00AD5268" w:rsidRDefault="003C24F8" w:rsidP="00643073">
      <w:pPr>
        <w:pStyle w:val="ListParagraph"/>
        <w:numPr>
          <w:ilvl w:val="2"/>
          <w:numId w:val="2"/>
        </w:numPr>
        <w:spacing w:after="160" w:line="259" w:lineRule="auto"/>
        <w:jc w:val="both"/>
      </w:pPr>
      <w:r w:rsidRPr="00AD5268">
        <w:t>a child protection officer of the Northern Territory, or an officer or employee of a recognised State/Territory authority of the Northern Territory, gives the Secretary a written notice requiring that the person be a program participant ;</w:t>
      </w:r>
    </w:p>
    <w:p w14:paraId="3C7CEF8A" w14:textId="537A8611" w:rsidR="003C24F8" w:rsidRPr="00AD5268" w:rsidRDefault="00775E90" w:rsidP="00643073">
      <w:pPr>
        <w:pStyle w:val="ListParagraph"/>
        <w:numPr>
          <w:ilvl w:val="2"/>
          <w:numId w:val="2"/>
        </w:numPr>
        <w:spacing w:after="160" w:line="259" w:lineRule="auto"/>
        <w:jc w:val="both"/>
      </w:pPr>
      <w:r>
        <w:t xml:space="preserve">if </w:t>
      </w:r>
      <w:r w:rsidR="003C24F8" w:rsidRPr="00AD5268">
        <w:t>the person has a payment nominee, that nominee is subject to income management or CDC;</w:t>
      </w:r>
    </w:p>
    <w:p w14:paraId="1FFE4B64" w14:textId="77777777" w:rsidR="003C24F8" w:rsidRPr="00AD5268" w:rsidRDefault="003C24F8" w:rsidP="00643073">
      <w:pPr>
        <w:pStyle w:val="ListParagraph"/>
        <w:numPr>
          <w:ilvl w:val="2"/>
          <w:numId w:val="2"/>
        </w:numPr>
        <w:spacing w:after="160" w:line="259" w:lineRule="auto"/>
        <w:jc w:val="both"/>
      </w:pPr>
      <w:r w:rsidRPr="00AD5268">
        <w:t>the person is not undertaking full time study;</w:t>
      </w:r>
    </w:p>
    <w:p w14:paraId="799EEF07" w14:textId="77777777" w:rsidR="003C24F8" w:rsidRPr="00AD5268" w:rsidRDefault="003C24F8" w:rsidP="00643073">
      <w:pPr>
        <w:pStyle w:val="ListParagraph"/>
        <w:numPr>
          <w:ilvl w:val="2"/>
          <w:numId w:val="2"/>
        </w:numPr>
        <w:spacing w:after="160" w:line="259" w:lineRule="auto"/>
        <w:jc w:val="both"/>
      </w:pPr>
      <w:r w:rsidRPr="00AD5268">
        <w:t xml:space="preserve">the person has made a </w:t>
      </w:r>
      <w:r w:rsidRPr="007E4967">
        <w:t xml:space="preserve">request </w:t>
      </w:r>
      <w:r w:rsidRPr="00AD5268">
        <w:t>to become a program participant;</w:t>
      </w:r>
    </w:p>
    <w:p w14:paraId="6144C61E" w14:textId="77777777" w:rsidR="003C24F8" w:rsidRPr="00AD5268" w:rsidRDefault="003C24F8" w:rsidP="00643073">
      <w:pPr>
        <w:pStyle w:val="ListParagraph"/>
        <w:numPr>
          <w:ilvl w:val="2"/>
          <w:numId w:val="2"/>
        </w:numPr>
        <w:spacing w:after="160" w:line="259" w:lineRule="auto"/>
        <w:jc w:val="both"/>
      </w:pPr>
      <w:r w:rsidRPr="00AD5268">
        <w:t xml:space="preserve">the Secretary has given the person a notice that they are now a program participant; </w:t>
      </w:r>
    </w:p>
    <w:p w14:paraId="2671605D" w14:textId="77777777" w:rsidR="003C24F8" w:rsidRPr="00AD5268" w:rsidRDefault="003C24F8" w:rsidP="00643073">
      <w:pPr>
        <w:pStyle w:val="ListParagraph"/>
        <w:numPr>
          <w:ilvl w:val="2"/>
          <w:numId w:val="2"/>
        </w:numPr>
        <w:spacing w:after="160" w:line="259" w:lineRule="auto"/>
        <w:jc w:val="both"/>
      </w:pPr>
      <w:r w:rsidRPr="00AD5268">
        <w:t>the person is, or has been, subject to Income Management under the child protection or state referral categories; and</w:t>
      </w:r>
    </w:p>
    <w:p w14:paraId="668AA61A" w14:textId="77777777" w:rsidR="003C24F8" w:rsidRPr="00AD5268" w:rsidRDefault="003C24F8" w:rsidP="00643073">
      <w:pPr>
        <w:pStyle w:val="ListParagraph"/>
        <w:numPr>
          <w:ilvl w:val="2"/>
          <w:numId w:val="2"/>
        </w:numPr>
        <w:spacing w:after="160" w:line="259" w:lineRule="auto"/>
        <w:jc w:val="both"/>
      </w:pPr>
      <w:r w:rsidRPr="00AD5268">
        <w:t xml:space="preserve">the person has not been approved to exit or be exempt from the CDC program.  </w:t>
      </w:r>
    </w:p>
    <w:p w14:paraId="701316DF" w14:textId="640DB853" w:rsidR="003C24F8" w:rsidRPr="00AD5268" w:rsidRDefault="003C24F8" w:rsidP="00643073">
      <w:pPr>
        <w:numPr>
          <w:ilvl w:val="1"/>
          <w:numId w:val="2"/>
        </w:numPr>
        <w:spacing w:after="160" w:line="259" w:lineRule="auto"/>
        <w:contextualSpacing/>
        <w:jc w:val="both"/>
      </w:pPr>
      <w:r>
        <w:t>A</w:t>
      </w:r>
      <w:r w:rsidRPr="00AD5268">
        <w:t xml:space="preserve"> person is a </w:t>
      </w:r>
      <w:r w:rsidRPr="00AD5268">
        <w:rPr>
          <w:b/>
        </w:rPr>
        <w:t>vulnerable welfare recipient program participant</w:t>
      </w:r>
      <w:r w:rsidRPr="00AD5268">
        <w:t xml:space="preserve"> if:</w:t>
      </w:r>
    </w:p>
    <w:p w14:paraId="27616AA4" w14:textId="77777777" w:rsidR="003C24F8" w:rsidRPr="00AD5268" w:rsidRDefault="003C24F8" w:rsidP="00643073">
      <w:pPr>
        <w:pStyle w:val="ListParagraph"/>
        <w:numPr>
          <w:ilvl w:val="2"/>
          <w:numId w:val="2"/>
        </w:numPr>
        <w:spacing w:after="160" w:line="259" w:lineRule="auto"/>
        <w:jc w:val="both"/>
      </w:pPr>
      <w:r w:rsidRPr="00AD5268">
        <w:t>the person usually lives in the NT;</w:t>
      </w:r>
    </w:p>
    <w:p w14:paraId="5F44D258" w14:textId="22F4FDAF" w:rsidR="003C24F8" w:rsidRPr="00AD5268" w:rsidRDefault="003C24F8" w:rsidP="00643073">
      <w:pPr>
        <w:pStyle w:val="ListParagraph"/>
        <w:numPr>
          <w:ilvl w:val="2"/>
          <w:numId w:val="2"/>
        </w:numPr>
        <w:spacing w:after="160" w:line="259" w:lineRule="auto"/>
        <w:jc w:val="both"/>
      </w:pPr>
      <w:r w:rsidRPr="007E4967">
        <w:t xml:space="preserve">the person is an eligible recipient of a </w:t>
      </w:r>
      <w:r w:rsidR="00775E90">
        <w:t>specified Centrelink payment</w:t>
      </w:r>
      <w:r w:rsidRPr="007E4967">
        <w:t>;</w:t>
      </w:r>
    </w:p>
    <w:p w14:paraId="6E465FB8" w14:textId="77777777" w:rsidR="003C24F8" w:rsidRPr="00AD5268" w:rsidRDefault="003C24F8" w:rsidP="00643073">
      <w:pPr>
        <w:pStyle w:val="ListParagraph"/>
        <w:numPr>
          <w:ilvl w:val="2"/>
          <w:numId w:val="2"/>
        </w:numPr>
        <w:spacing w:after="160" w:line="259" w:lineRule="auto"/>
        <w:jc w:val="both"/>
      </w:pPr>
      <w:r w:rsidRPr="00AD5268">
        <w:t>the person has not reached pension age;</w:t>
      </w:r>
    </w:p>
    <w:p w14:paraId="1CD30950" w14:textId="77777777" w:rsidR="003C24F8" w:rsidRPr="00AD5268" w:rsidRDefault="003C24F8" w:rsidP="00643073">
      <w:pPr>
        <w:pStyle w:val="ListParagraph"/>
        <w:numPr>
          <w:ilvl w:val="2"/>
          <w:numId w:val="2"/>
        </w:numPr>
        <w:spacing w:after="160" w:line="259" w:lineRule="auto"/>
        <w:jc w:val="both"/>
      </w:pPr>
      <w:r w:rsidRPr="007E4967">
        <w:lastRenderedPageBreak/>
        <w:t xml:space="preserve">the person is a ‘vulnerable welfare payment recipient’ – which is determined by the Secretary on an individual basis, where a person is experiencing an ‘indicator of vulnerability’ (financial exploitation, financial hardship, failure to undertake reasonable self-care, or homelessness or risk of homelessness); </w:t>
      </w:r>
    </w:p>
    <w:p w14:paraId="6718F217" w14:textId="495B8ADE" w:rsidR="003C24F8" w:rsidRPr="00AD5268" w:rsidRDefault="00775E90" w:rsidP="00643073">
      <w:pPr>
        <w:pStyle w:val="ListParagraph"/>
        <w:numPr>
          <w:ilvl w:val="2"/>
          <w:numId w:val="2"/>
        </w:numPr>
        <w:spacing w:after="160" w:line="259" w:lineRule="auto"/>
        <w:jc w:val="both"/>
      </w:pPr>
      <w:r>
        <w:t xml:space="preserve">if </w:t>
      </w:r>
      <w:r w:rsidR="003C24F8" w:rsidRPr="00AD5268">
        <w:t>the person has a payment nominee, that nominee is subject to income management or CDC;</w:t>
      </w:r>
    </w:p>
    <w:p w14:paraId="430C46C1" w14:textId="77777777" w:rsidR="003C24F8" w:rsidRPr="00AD5268" w:rsidRDefault="003C24F8" w:rsidP="00643073">
      <w:pPr>
        <w:pStyle w:val="ListParagraph"/>
        <w:numPr>
          <w:ilvl w:val="2"/>
          <w:numId w:val="2"/>
        </w:numPr>
        <w:spacing w:after="160" w:line="259" w:lineRule="auto"/>
        <w:jc w:val="both"/>
      </w:pPr>
      <w:r w:rsidRPr="00AD5268">
        <w:t>the person is not undertaking full time study;</w:t>
      </w:r>
    </w:p>
    <w:p w14:paraId="49033141" w14:textId="77777777" w:rsidR="003C24F8" w:rsidRPr="00AD5268" w:rsidRDefault="003C24F8" w:rsidP="00643073">
      <w:pPr>
        <w:pStyle w:val="ListParagraph"/>
        <w:numPr>
          <w:ilvl w:val="2"/>
          <w:numId w:val="2"/>
        </w:numPr>
        <w:spacing w:after="160" w:line="259" w:lineRule="auto"/>
        <w:jc w:val="both"/>
      </w:pPr>
      <w:r w:rsidRPr="00AD5268">
        <w:t xml:space="preserve">the person has made a </w:t>
      </w:r>
      <w:r w:rsidRPr="007E4967">
        <w:t xml:space="preserve">request </w:t>
      </w:r>
      <w:r w:rsidRPr="00AD5268">
        <w:t>to become a program participant;</w:t>
      </w:r>
    </w:p>
    <w:p w14:paraId="1A856DF9" w14:textId="77777777" w:rsidR="003C24F8" w:rsidRPr="00AD5268" w:rsidRDefault="003C24F8" w:rsidP="00643073">
      <w:pPr>
        <w:pStyle w:val="ListParagraph"/>
        <w:numPr>
          <w:ilvl w:val="2"/>
          <w:numId w:val="2"/>
        </w:numPr>
        <w:spacing w:after="160" w:line="259" w:lineRule="auto"/>
        <w:jc w:val="both"/>
      </w:pPr>
      <w:r w:rsidRPr="00AD5268">
        <w:t xml:space="preserve">the Secretary has given the person a notice that they are now a program participant; </w:t>
      </w:r>
    </w:p>
    <w:p w14:paraId="0BD89764" w14:textId="77777777" w:rsidR="003C24F8" w:rsidRPr="00AD5268" w:rsidRDefault="003C24F8" w:rsidP="00643073">
      <w:pPr>
        <w:pStyle w:val="ListParagraph"/>
        <w:numPr>
          <w:ilvl w:val="2"/>
          <w:numId w:val="2"/>
        </w:numPr>
        <w:spacing w:after="160" w:line="259" w:lineRule="auto"/>
        <w:jc w:val="both"/>
      </w:pPr>
      <w:r w:rsidRPr="00AD5268">
        <w:t>the person is, or has been, subject to the IM program under the vulnerable welfare recipient category; and</w:t>
      </w:r>
    </w:p>
    <w:p w14:paraId="0F349812" w14:textId="335AEEC0" w:rsidR="003C24F8" w:rsidRDefault="003C24F8" w:rsidP="00643073">
      <w:pPr>
        <w:pStyle w:val="ListParagraph"/>
        <w:numPr>
          <w:ilvl w:val="2"/>
          <w:numId w:val="2"/>
        </w:numPr>
        <w:spacing w:after="160" w:line="259" w:lineRule="auto"/>
        <w:jc w:val="both"/>
      </w:pPr>
      <w:r w:rsidRPr="00AD5268">
        <w:t>the person has not been approved to exit or be exempt from the CDC program.</w:t>
      </w:r>
    </w:p>
    <w:p w14:paraId="4285F9CA" w14:textId="77777777" w:rsidR="00775E90" w:rsidRPr="00AD5268" w:rsidRDefault="00775E90" w:rsidP="00775E90">
      <w:pPr>
        <w:pStyle w:val="ListParagraph"/>
        <w:spacing w:after="160" w:line="259" w:lineRule="auto"/>
        <w:ind w:left="1800"/>
        <w:jc w:val="both"/>
      </w:pPr>
    </w:p>
    <w:p w14:paraId="6FBA9B9D" w14:textId="7EF1BDBF" w:rsidR="003C24F8" w:rsidRPr="007E4967" w:rsidRDefault="003C24F8" w:rsidP="00643073">
      <w:pPr>
        <w:pStyle w:val="ListParagraph"/>
        <w:numPr>
          <w:ilvl w:val="1"/>
          <w:numId w:val="2"/>
        </w:numPr>
        <w:spacing w:after="160" w:line="259" w:lineRule="auto"/>
        <w:jc w:val="both"/>
      </w:pPr>
      <w:r w:rsidRPr="007E4967">
        <w:t xml:space="preserve">For people who opt to transfer from IM to the CDC, the percentage of payments quarantined will </w:t>
      </w:r>
      <w:r w:rsidR="00775E90">
        <w:t xml:space="preserve">initially </w:t>
      </w:r>
      <w:r w:rsidRPr="007E4967">
        <w:t>be the same as applied under Income Management.</w:t>
      </w:r>
    </w:p>
    <w:p w14:paraId="64F0D543" w14:textId="77777777" w:rsidR="003C24F8" w:rsidRPr="007E4967" w:rsidRDefault="003C24F8" w:rsidP="00643073">
      <w:pPr>
        <w:pStyle w:val="ListParagraph"/>
        <w:numPr>
          <w:ilvl w:val="1"/>
          <w:numId w:val="2"/>
        </w:numPr>
        <w:spacing w:after="160" w:line="259" w:lineRule="auto"/>
        <w:jc w:val="both"/>
      </w:pPr>
      <w:r w:rsidRPr="007E4967">
        <w:t>The full amount of any lump sum payments and arrears will be quarantined onto the CDC.</w:t>
      </w:r>
    </w:p>
    <w:p w14:paraId="063255AB" w14:textId="77777777" w:rsidR="003C24F8" w:rsidRPr="002959D4" w:rsidRDefault="003C24F8" w:rsidP="00643073">
      <w:pPr>
        <w:pStyle w:val="ListParagraph"/>
        <w:numPr>
          <w:ilvl w:val="1"/>
          <w:numId w:val="2"/>
        </w:numPr>
        <w:spacing w:after="160" w:line="259" w:lineRule="auto"/>
        <w:jc w:val="both"/>
      </w:pPr>
      <w:r>
        <w:t>On transitioning from Income Management to the CDC program, any credit balance of a person’s IM BasicsCard will be transferred to their CDC.</w:t>
      </w:r>
    </w:p>
    <w:p w14:paraId="540D2AEE" w14:textId="77777777" w:rsidR="003C24F8" w:rsidRDefault="003C24F8" w:rsidP="00643073">
      <w:pPr>
        <w:pStyle w:val="ListParagraph"/>
        <w:numPr>
          <w:ilvl w:val="1"/>
          <w:numId w:val="2"/>
        </w:numPr>
        <w:spacing w:after="160" w:line="259" w:lineRule="auto"/>
        <w:jc w:val="both"/>
      </w:pPr>
      <w:r>
        <w:t>D</w:t>
      </w:r>
      <w:r w:rsidRPr="002959D4">
        <w:t xml:space="preserve">eductions set up under Income Management will stop when </w:t>
      </w:r>
      <w:r>
        <w:t xml:space="preserve">a person </w:t>
      </w:r>
      <w:r w:rsidRPr="002959D4">
        <w:t>transfers to the CDC</w:t>
      </w:r>
      <w:r>
        <w:t xml:space="preserve">. The person will need to </w:t>
      </w:r>
      <w:r w:rsidRPr="002959D4">
        <w:t xml:space="preserve">set up new deductions for </w:t>
      </w:r>
      <w:r>
        <w:t>payments such as</w:t>
      </w:r>
      <w:r w:rsidRPr="002959D4">
        <w:t xml:space="preserve"> rent</w:t>
      </w:r>
      <w:r>
        <w:t xml:space="preserve"> and utilities</w:t>
      </w:r>
      <w:r w:rsidRPr="002959D4">
        <w:t xml:space="preserve"> to avoid missing payments. </w:t>
      </w:r>
      <w:r>
        <w:t>Services Australia advises that Centrelink can assist with this.</w:t>
      </w:r>
    </w:p>
    <w:p w14:paraId="1834D3F1" w14:textId="77777777" w:rsidR="003C24F8" w:rsidRPr="00EF2E94" w:rsidRDefault="003C24F8" w:rsidP="00215A24">
      <w:pPr>
        <w:pStyle w:val="ListParagraph"/>
        <w:numPr>
          <w:ilvl w:val="1"/>
          <w:numId w:val="2"/>
        </w:numPr>
        <w:spacing w:after="160" w:line="259" w:lineRule="auto"/>
        <w:jc w:val="both"/>
      </w:pPr>
      <w:r w:rsidRPr="007E4967">
        <w:t>Once a person has been transitioned to the CDC program from Income Management, they will then need to follow the requirements applicable to the CDC program if they wish to exit or be exempt from income quarantining – i.e., they will need to meet the responsible management of affairs or wellbeing tests</w:t>
      </w:r>
      <w:r>
        <w:t xml:space="preserve"> (see below)</w:t>
      </w:r>
      <w:r w:rsidRPr="007E4967">
        <w:t xml:space="preserve">. </w:t>
      </w:r>
    </w:p>
    <w:p w14:paraId="3DB3721C" w14:textId="77777777" w:rsidR="003C24F8" w:rsidRPr="0080242E" w:rsidRDefault="003C24F8" w:rsidP="00643073">
      <w:pPr>
        <w:pStyle w:val="ListParagraph"/>
        <w:numPr>
          <w:ilvl w:val="0"/>
          <w:numId w:val="2"/>
        </w:numPr>
        <w:spacing w:after="160" w:line="259" w:lineRule="auto"/>
        <w:jc w:val="both"/>
      </w:pPr>
      <w:bookmarkStart w:id="28" w:name="_Toc67933696"/>
      <w:r w:rsidRPr="00531C7F">
        <w:rPr>
          <w:rStyle w:val="Heading5Char"/>
        </w:rPr>
        <w:t>Voluntary participation</w:t>
      </w:r>
      <w:bookmarkEnd w:id="28"/>
      <w:r w:rsidRPr="0080242E">
        <w:rPr>
          <w:b/>
        </w:rPr>
        <w:t>:</w:t>
      </w:r>
      <w:r w:rsidRPr="0080242E">
        <w:t xml:space="preserve"> From 17 March 2021 people in the NT who are not subject to I</w:t>
      </w:r>
      <w:r>
        <w:t>ncome Management</w:t>
      </w:r>
      <w:r w:rsidRPr="0080242E">
        <w:t xml:space="preserve"> can volunteer to participate in the CDC program.</w:t>
      </w:r>
    </w:p>
    <w:p w14:paraId="282D606F" w14:textId="77777777" w:rsidR="003C24F8" w:rsidRDefault="003C24F8" w:rsidP="00643073">
      <w:pPr>
        <w:pStyle w:val="ListParagraph"/>
        <w:numPr>
          <w:ilvl w:val="1"/>
          <w:numId w:val="2"/>
        </w:numPr>
        <w:spacing w:after="160" w:line="259" w:lineRule="auto"/>
        <w:jc w:val="both"/>
      </w:pPr>
      <w:r w:rsidRPr="007E4967">
        <w:t>People who volunteer for the CDC will have 50% of their payment quarantined to the card</w:t>
      </w:r>
      <w:r>
        <w:t xml:space="preserve">, with the balance credited to </w:t>
      </w:r>
      <w:r w:rsidRPr="007E4967">
        <w:t>their normal bank account. The full amount of any lump sum payments and arrears will go onto the CDC.</w:t>
      </w:r>
    </w:p>
    <w:p w14:paraId="6FD94801" w14:textId="0F01437E" w:rsidR="003C24F8" w:rsidRDefault="003C24F8" w:rsidP="00643073">
      <w:pPr>
        <w:pStyle w:val="ListParagraph"/>
        <w:numPr>
          <w:ilvl w:val="1"/>
          <w:numId w:val="2"/>
        </w:numPr>
        <w:spacing w:after="160" w:line="259" w:lineRule="auto"/>
        <w:jc w:val="both"/>
      </w:pPr>
      <w:r w:rsidRPr="007E4967">
        <w:t>Voluntary participants can exit the CDC program at any time.</w:t>
      </w:r>
    </w:p>
    <w:p w14:paraId="3E86E49B" w14:textId="77777777" w:rsidR="00B663E6" w:rsidRPr="007E4967" w:rsidRDefault="00B663E6" w:rsidP="00B663E6">
      <w:pPr>
        <w:pStyle w:val="ListParagraph"/>
        <w:spacing w:after="160" w:line="259" w:lineRule="auto"/>
        <w:ind w:left="1080"/>
        <w:jc w:val="both"/>
      </w:pPr>
    </w:p>
    <w:p w14:paraId="7DAC4BB7" w14:textId="77777777" w:rsidR="003C24F8" w:rsidRPr="007E4967" w:rsidRDefault="003C24F8" w:rsidP="00215A24">
      <w:pPr>
        <w:pStyle w:val="Heading3"/>
      </w:pPr>
      <w:bookmarkStart w:id="29" w:name="_Toc67933697"/>
      <w:r w:rsidRPr="007E4967">
        <w:t>Cape York, Queensland</w:t>
      </w:r>
      <w:bookmarkEnd w:id="29"/>
    </w:p>
    <w:p w14:paraId="55E1A756" w14:textId="77777777" w:rsidR="003C24F8" w:rsidRPr="003968DB" w:rsidRDefault="003C24F8" w:rsidP="003C24F8">
      <w:pPr>
        <w:jc w:val="both"/>
      </w:pPr>
      <w:r w:rsidRPr="002C6523">
        <w:t xml:space="preserve">From 17 March 2021 the </w:t>
      </w:r>
      <w:r>
        <w:t>“Cape York area” is</w:t>
      </w:r>
      <w:r w:rsidRPr="002C6523">
        <w:t xml:space="preserve"> CDC program area.</w:t>
      </w:r>
      <w:r>
        <w:t xml:space="preserve"> </w:t>
      </w:r>
      <w:r w:rsidRPr="007E4967">
        <w:t>The Cape York area is an area determined by Ministerial Instrument</w:t>
      </w:r>
      <w:r>
        <w:t xml:space="preserve">. The area currently comprises </w:t>
      </w:r>
      <w:r w:rsidRPr="003968DB">
        <w:t>communities and associated outstations of:</w:t>
      </w:r>
    </w:p>
    <w:p w14:paraId="4CDD71D2" w14:textId="77777777" w:rsidR="003C24F8" w:rsidRPr="007E4967" w:rsidRDefault="003C24F8" w:rsidP="007C4007">
      <w:pPr>
        <w:pStyle w:val="ListParagraph"/>
        <w:numPr>
          <w:ilvl w:val="0"/>
          <w:numId w:val="9"/>
        </w:numPr>
        <w:spacing w:after="160" w:line="259" w:lineRule="auto"/>
        <w:jc w:val="both"/>
      </w:pPr>
      <w:r w:rsidRPr="007E4967">
        <w:t>Aurukun</w:t>
      </w:r>
    </w:p>
    <w:p w14:paraId="66646E7D" w14:textId="77777777" w:rsidR="003C24F8" w:rsidRPr="007E4967" w:rsidRDefault="003C24F8" w:rsidP="007C4007">
      <w:pPr>
        <w:pStyle w:val="ListParagraph"/>
        <w:numPr>
          <w:ilvl w:val="0"/>
          <w:numId w:val="9"/>
        </w:numPr>
        <w:spacing w:after="160" w:line="259" w:lineRule="auto"/>
        <w:jc w:val="both"/>
      </w:pPr>
      <w:r w:rsidRPr="007E4967">
        <w:t>Coen</w:t>
      </w:r>
    </w:p>
    <w:p w14:paraId="35EF8C26" w14:textId="77777777" w:rsidR="003C24F8" w:rsidRPr="007E4967" w:rsidRDefault="003C24F8" w:rsidP="007C4007">
      <w:pPr>
        <w:pStyle w:val="ListParagraph"/>
        <w:numPr>
          <w:ilvl w:val="0"/>
          <w:numId w:val="9"/>
        </w:numPr>
        <w:spacing w:after="160" w:line="259" w:lineRule="auto"/>
        <w:jc w:val="both"/>
      </w:pPr>
      <w:r w:rsidRPr="007E4967">
        <w:t>Hope Vale</w:t>
      </w:r>
    </w:p>
    <w:p w14:paraId="41E0665F" w14:textId="77777777" w:rsidR="003C24F8" w:rsidRPr="007E4967" w:rsidRDefault="003C24F8" w:rsidP="007C4007">
      <w:pPr>
        <w:pStyle w:val="ListParagraph"/>
        <w:numPr>
          <w:ilvl w:val="0"/>
          <w:numId w:val="9"/>
        </w:numPr>
        <w:spacing w:after="160" w:line="259" w:lineRule="auto"/>
        <w:jc w:val="both"/>
      </w:pPr>
      <w:r w:rsidRPr="007E4967">
        <w:t>Mossman Gorge</w:t>
      </w:r>
    </w:p>
    <w:p w14:paraId="58C418D0" w14:textId="77777777" w:rsidR="003C24F8" w:rsidRPr="007E4967" w:rsidRDefault="003C24F8" w:rsidP="007C4007">
      <w:pPr>
        <w:pStyle w:val="ListParagraph"/>
        <w:numPr>
          <w:ilvl w:val="0"/>
          <w:numId w:val="9"/>
        </w:numPr>
        <w:spacing w:after="160" w:line="259" w:lineRule="auto"/>
        <w:jc w:val="both"/>
      </w:pPr>
      <w:r w:rsidRPr="007E4967">
        <w:t>Doomadgee</w:t>
      </w:r>
      <w:r>
        <w:t>.</w:t>
      </w:r>
    </w:p>
    <w:p w14:paraId="75F8B648" w14:textId="59F11414" w:rsidR="003C24F8" w:rsidRDefault="003C24F8" w:rsidP="003C24F8">
      <w:pPr>
        <w:jc w:val="both"/>
      </w:pPr>
      <w:r w:rsidRPr="003968DB">
        <w:t xml:space="preserve">The </w:t>
      </w:r>
      <w:r>
        <w:t>Cape York CDC program</w:t>
      </w:r>
      <w:r w:rsidR="00DA498F">
        <w:t>, and previous Income Management program, operates very differently to income management in other areas. It</w:t>
      </w:r>
      <w:r w:rsidRPr="003968DB">
        <w:t xml:space="preserve"> is delivered in partnership with an independent statutory body called the Family Responsibilities Commission (FRC)</w:t>
      </w:r>
      <w:r w:rsidR="00DA498F">
        <w:t xml:space="preserve"> which considers people’s individual circumstances and needs before referring them to income management for a specified period of time</w:t>
      </w:r>
      <w:r w:rsidRPr="003968DB">
        <w:t>.</w:t>
      </w:r>
    </w:p>
    <w:p w14:paraId="6175D660" w14:textId="77777777" w:rsidR="007C4007" w:rsidRDefault="007C4007" w:rsidP="003C24F8">
      <w:pPr>
        <w:jc w:val="both"/>
      </w:pPr>
    </w:p>
    <w:p w14:paraId="00AE0236" w14:textId="77777777" w:rsidR="003C24F8" w:rsidRPr="007E4967" w:rsidRDefault="003C24F8" w:rsidP="00531C7F">
      <w:pPr>
        <w:pStyle w:val="Heading5"/>
      </w:pPr>
      <w:bookmarkStart w:id="30" w:name="_Toc67933698"/>
      <w:r w:rsidRPr="007E4967">
        <w:t>Transitions from Income Management</w:t>
      </w:r>
      <w:bookmarkEnd w:id="30"/>
    </w:p>
    <w:p w14:paraId="2E978339" w14:textId="77777777" w:rsidR="003C24F8" w:rsidRPr="008501B0" w:rsidRDefault="003C24F8" w:rsidP="00643073">
      <w:pPr>
        <w:pStyle w:val="ListParagraph"/>
        <w:numPr>
          <w:ilvl w:val="1"/>
          <w:numId w:val="2"/>
        </w:numPr>
        <w:spacing w:after="160" w:line="259" w:lineRule="auto"/>
        <w:jc w:val="both"/>
      </w:pPr>
      <w:r>
        <w:t>Existing Income M</w:t>
      </w:r>
      <w:r w:rsidRPr="000549AA">
        <w:t xml:space="preserve">anagement participants in the Cape York Region </w:t>
      </w:r>
      <w:r>
        <w:t>(approximately 150 people), are being</w:t>
      </w:r>
      <w:r w:rsidRPr="000549AA">
        <w:t xml:space="preserve"> </w:t>
      </w:r>
      <w:r w:rsidRPr="007E4967">
        <w:t xml:space="preserve">compulsorily </w:t>
      </w:r>
      <w:r w:rsidRPr="000549AA">
        <w:t xml:space="preserve">transitioned to the Cashless Debit Card </w:t>
      </w:r>
      <w:r>
        <w:t>from</w:t>
      </w:r>
      <w:r w:rsidRPr="000549AA">
        <w:t xml:space="preserve"> 17 March 2021. </w:t>
      </w:r>
      <w:r w:rsidRPr="007E4967">
        <w:t xml:space="preserve">Centrelink remote servicing teams </w:t>
      </w:r>
      <w:r>
        <w:t>have been</w:t>
      </w:r>
      <w:r w:rsidRPr="007E4967">
        <w:t xml:space="preserve"> visiting the Cape York area to distribute </w:t>
      </w:r>
      <w:r>
        <w:t>CDC</w:t>
      </w:r>
      <w:r w:rsidRPr="007E4967">
        <w:t>s</w:t>
      </w:r>
      <w:r>
        <w:t>.</w:t>
      </w:r>
    </w:p>
    <w:p w14:paraId="0591DEA1" w14:textId="77777777" w:rsidR="003C24F8" w:rsidRDefault="003C24F8" w:rsidP="00643073">
      <w:pPr>
        <w:pStyle w:val="ListParagraph"/>
        <w:numPr>
          <w:ilvl w:val="1"/>
          <w:numId w:val="2"/>
        </w:numPr>
        <w:spacing w:after="160" w:line="259" w:lineRule="auto"/>
        <w:jc w:val="both"/>
      </w:pPr>
      <w:r w:rsidRPr="007E4967">
        <w:t>Income Management sunsets</w:t>
      </w:r>
      <w:r>
        <w:t xml:space="preserve"> in Cape York on 31 December 2021.</w:t>
      </w:r>
    </w:p>
    <w:p w14:paraId="481678F4" w14:textId="77777777" w:rsidR="003C24F8" w:rsidRPr="007E4967" w:rsidRDefault="003C24F8" w:rsidP="00643073">
      <w:pPr>
        <w:pStyle w:val="ListParagraph"/>
        <w:numPr>
          <w:ilvl w:val="1"/>
          <w:numId w:val="2"/>
        </w:numPr>
        <w:spacing w:after="160" w:line="259" w:lineRule="auto"/>
        <w:jc w:val="both"/>
      </w:pPr>
      <w:r>
        <w:t xml:space="preserve">There is no age cap for the Cape York CDC program, for either compulsory participants or voluntary participants. People transitioning from Income Management to the CDC </w:t>
      </w:r>
      <w:r w:rsidRPr="007E4967">
        <w:t xml:space="preserve">retain the restricted percentage set out in their notice (they do not default to an 80% restricted payment rate). </w:t>
      </w:r>
    </w:p>
    <w:p w14:paraId="212AFC27" w14:textId="77777777" w:rsidR="005818A3" w:rsidRDefault="003C24F8" w:rsidP="005818A3">
      <w:pPr>
        <w:pStyle w:val="ListParagraph"/>
        <w:numPr>
          <w:ilvl w:val="1"/>
          <w:numId w:val="2"/>
        </w:numPr>
        <w:spacing w:after="160" w:line="259" w:lineRule="auto"/>
        <w:jc w:val="both"/>
      </w:pPr>
      <w:r w:rsidRPr="007E4967">
        <w:t>Once a person has been transitioned to the CDC program from Income Management, they will then need to follow the requirements applicable to the CDC program if they wish to exit or be exempt from income quarantining – i.e., they will need to meet the responsible management of affairs or wellbeing tests</w:t>
      </w:r>
      <w:r>
        <w:t>.</w:t>
      </w:r>
    </w:p>
    <w:p w14:paraId="09181553" w14:textId="77777777" w:rsidR="003C24F8" w:rsidRPr="007C4007" w:rsidRDefault="003C24F8" w:rsidP="00D17AD6">
      <w:pPr>
        <w:pStyle w:val="Heading5"/>
      </w:pPr>
      <w:bookmarkStart w:id="31" w:name="_Toc67933699"/>
      <w:r w:rsidRPr="007C4007">
        <w:t>New CDC program participants</w:t>
      </w:r>
      <w:bookmarkEnd w:id="31"/>
    </w:p>
    <w:p w14:paraId="7BF6CA9E" w14:textId="77777777" w:rsidR="003C24F8" w:rsidRPr="004F1E2F" w:rsidRDefault="003C24F8" w:rsidP="007C4007">
      <w:pPr>
        <w:pStyle w:val="ListParagraph"/>
        <w:numPr>
          <w:ilvl w:val="1"/>
          <w:numId w:val="4"/>
        </w:numPr>
        <w:spacing w:after="160" w:line="259" w:lineRule="auto"/>
        <w:ind w:left="1080"/>
        <w:jc w:val="both"/>
      </w:pPr>
      <w:r w:rsidRPr="007E4967">
        <w:t xml:space="preserve">The Cashless Debit Card does not automatically apply to everyone on a trigger payment in the Cape York Region. </w:t>
      </w:r>
      <w:r>
        <w:t>T</w:t>
      </w:r>
      <w:r w:rsidRPr="004F1E2F">
        <w:t>he Family Responsibilities Commission will determine new participants and the percentage to be quarantined for their restrictable payments.</w:t>
      </w:r>
    </w:p>
    <w:p w14:paraId="45C81BD0" w14:textId="77777777" w:rsidR="005818A3" w:rsidRDefault="003C24F8" w:rsidP="005818A3">
      <w:pPr>
        <w:pStyle w:val="ListParagraph"/>
        <w:numPr>
          <w:ilvl w:val="1"/>
          <w:numId w:val="4"/>
        </w:numPr>
        <w:spacing w:after="160" w:line="259" w:lineRule="auto"/>
        <w:ind w:left="1080"/>
        <w:jc w:val="both"/>
      </w:pPr>
      <w:r w:rsidRPr="007E4967">
        <w:t xml:space="preserve"> A person is subject to the Cashless Debit Card under the Cape York </w:t>
      </w:r>
      <w:r>
        <w:t>m</w:t>
      </w:r>
      <w:r w:rsidRPr="007E4967">
        <w:t>easure, if:</w:t>
      </w:r>
    </w:p>
    <w:p w14:paraId="28DFE3B0" w14:textId="77777777" w:rsidR="005818A3" w:rsidRDefault="003C24F8" w:rsidP="005818A3">
      <w:pPr>
        <w:pStyle w:val="ListParagraph"/>
        <w:numPr>
          <w:ilvl w:val="2"/>
          <w:numId w:val="10"/>
        </w:numPr>
        <w:spacing w:after="160" w:line="259" w:lineRule="auto"/>
        <w:jc w:val="both"/>
      </w:pPr>
      <w:r>
        <w:t xml:space="preserve">They </w:t>
      </w:r>
      <w:r w:rsidRPr="008501B0">
        <w:t>or their partner receive a specified Centrelink payment</w:t>
      </w:r>
      <w:r>
        <w:t>; or</w:t>
      </w:r>
    </w:p>
    <w:p w14:paraId="302EAAB5" w14:textId="77777777" w:rsidR="005818A3" w:rsidRDefault="003C24F8" w:rsidP="005818A3">
      <w:pPr>
        <w:pStyle w:val="ListParagraph"/>
        <w:numPr>
          <w:ilvl w:val="2"/>
          <w:numId w:val="10"/>
        </w:numPr>
        <w:spacing w:after="160" w:line="259" w:lineRule="auto"/>
        <w:jc w:val="both"/>
      </w:pPr>
      <w:r>
        <w:t>They have</w:t>
      </w:r>
      <w:r w:rsidRPr="007E4967">
        <w:t xml:space="preserve"> a payment nominee who is a Cashless Debit Card participant or </w:t>
      </w:r>
      <w:r>
        <w:t xml:space="preserve">is </w:t>
      </w:r>
      <w:r w:rsidRPr="007E4967">
        <w:t>subject to Income M</w:t>
      </w:r>
      <w:r>
        <w:t>anagement; AND</w:t>
      </w:r>
    </w:p>
    <w:p w14:paraId="0957BE72" w14:textId="77777777" w:rsidR="003C24F8" w:rsidRPr="008501B0" w:rsidRDefault="003C24F8" w:rsidP="005818A3">
      <w:pPr>
        <w:pStyle w:val="ListParagraph"/>
        <w:numPr>
          <w:ilvl w:val="2"/>
          <w:numId w:val="10"/>
        </w:numPr>
        <w:spacing w:after="160" w:line="259" w:lineRule="auto"/>
        <w:jc w:val="both"/>
      </w:pPr>
      <w:r w:rsidRPr="008501B0">
        <w:t xml:space="preserve">The FRC has given a valid notice to the delegate requiring that the person be subject to Income Management, and </w:t>
      </w:r>
      <w:r>
        <w:t>t</w:t>
      </w:r>
      <w:r w:rsidRPr="00C9044B">
        <w:t>he notice has not ended or been revoked or withdrawn</w:t>
      </w:r>
      <w:r>
        <w:t>.</w:t>
      </w:r>
    </w:p>
    <w:p w14:paraId="0631C2FB" w14:textId="77777777" w:rsidR="003C24F8" w:rsidRPr="008501B0" w:rsidRDefault="003C24F8" w:rsidP="007C4007">
      <w:pPr>
        <w:pStyle w:val="ListParagraph"/>
        <w:numPr>
          <w:ilvl w:val="1"/>
          <w:numId w:val="4"/>
        </w:numPr>
        <w:spacing w:after="160" w:line="259" w:lineRule="auto"/>
        <w:ind w:left="1080"/>
        <w:jc w:val="both"/>
      </w:pPr>
      <w:r w:rsidRPr="008501B0">
        <w:t>Once a person is on the Cape York CDC program, they will remain on the program, even if they move out of the program area. A person will cease to be a Cashless Debit Card participant in the Cape York Region when their notice expires.</w:t>
      </w:r>
    </w:p>
    <w:p w14:paraId="3E11C710" w14:textId="77777777" w:rsidR="003C24F8" w:rsidRDefault="003C24F8" w:rsidP="003C24F8">
      <w:pPr>
        <w:jc w:val="both"/>
        <w:rPr>
          <w:b/>
          <w:color w:val="ED7D31" w:themeColor="accent2"/>
          <w:sz w:val="28"/>
          <w:szCs w:val="28"/>
        </w:rPr>
      </w:pPr>
    </w:p>
    <w:p w14:paraId="4B0E8D46" w14:textId="77777777" w:rsidR="003C24F8" w:rsidRDefault="005818A3" w:rsidP="007624FB">
      <w:pPr>
        <w:pStyle w:val="Heading1"/>
      </w:pPr>
      <w:bookmarkStart w:id="32" w:name="_Toc67933700"/>
      <w:r w:rsidRPr="00D461E5">
        <w:t xml:space="preserve">All </w:t>
      </w:r>
      <w:r>
        <w:t xml:space="preserve">CDC Program </w:t>
      </w:r>
      <w:r w:rsidRPr="00D461E5">
        <w:t>Areas</w:t>
      </w:r>
      <w:bookmarkEnd w:id="32"/>
    </w:p>
    <w:p w14:paraId="084E95D1" w14:textId="77777777" w:rsidR="003C24F8" w:rsidRPr="007E4967" w:rsidRDefault="003C24F8" w:rsidP="007624FB">
      <w:pPr>
        <w:pStyle w:val="Heading3"/>
      </w:pPr>
      <w:bookmarkStart w:id="33" w:name="_Toc67933701"/>
      <w:r w:rsidRPr="007E4967">
        <w:t>Voluntary participation</w:t>
      </w:r>
      <w:bookmarkEnd w:id="33"/>
    </w:p>
    <w:p w14:paraId="49D62F2B" w14:textId="77777777" w:rsidR="003C24F8" w:rsidRPr="007E4967" w:rsidRDefault="003C24F8" w:rsidP="00643073">
      <w:pPr>
        <w:pStyle w:val="ListParagraph"/>
        <w:numPr>
          <w:ilvl w:val="0"/>
          <w:numId w:val="2"/>
        </w:numPr>
        <w:spacing w:after="160" w:line="259" w:lineRule="auto"/>
        <w:jc w:val="both"/>
      </w:pPr>
      <w:bookmarkStart w:id="34" w:name="_Toc67933702"/>
      <w:r w:rsidRPr="00D17AD6">
        <w:rPr>
          <w:rStyle w:val="Heading5Char"/>
        </w:rPr>
        <w:t>Requests</w:t>
      </w:r>
      <w:bookmarkEnd w:id="34"/>
      <w:r>
        <w:t>: a</w:t>
      </w:r>
      <w:r w:rsidRPr="007E4967">
        <w:t xml:space="preserve"> person may request, orally or in writing, to participate in the CDC program if they meet all of the following criteria:</w:t>
      </w:r>
    </w:p>
    <w:p w14:paraId="38DC5FF6" w14:textId="109C2DF7" w:rsidR="003C24F8" w:rsidRDefault="003C24F8" w:rsidP="00643073">
      <w:pPr>
        <w:pStyle w:val="ListParagraph"/>
        <w:numPr>
          <w:ilvl w:val="1"/>
          <w:numId w:val="2"/>
        </w:numPr>
        <w:spacing w:after="160" w:line="259" w:lineRule="auto"/>
        <w:jc w:val="both"/>
      </w:pPr>
      <w:r w:rsidRPr="007E4967">
        <w:t xml:space="preserve">they are not subject to the </w:t>
      </w:r>
      <w:r>
        <w:t>I</w:t>
      </w:r>
      <w:r w:rsidRPr="007E4967">
        <w:t xml:space="preserve">ncome </w:t>
      </w:r>
      <w:r>
        <w:t>M</w:t>
      </w:r>
      <w:r w:rsidRPr="007E4967">
        <w:t>anagement program</w:t>
      </w:r>
      <w:r w:rsidR="00DA498F">
        <w:t>;</w:t>
      </w:r>
    </w:p>
    <w:p w14:paraId="795A23F3" w14:textId="529C2962" w:rsidR="003C24F8" w:rsidRPr="00DE13E2" w:rsidRDefault="003C24F8" w:rsidP="00643073">
      <w:pPr>
        <w:pStyle w:val="ListParagraph"/>
        <w:numPr>
          <w:ilvl w:val="1"/>
          <w:numId w:val="2"/>
        </w:numPr>
        <w:spacing w:after="160" w:line="259" w:lineRule="auto"/>
        <w:jc w:val="both"/>
      </w:pPr>
      <w:r w:rsidRPr="007E4967">
        <w:t>they are receiving a “trigger payment” or an age pension (note that unlike for compulsory CDC participants, there is no upper age limit for voluntary CDC program participants)</w:t>
      </w:r>
      <w:r w:rsidR="00DA498F">
        <w:t>;</w:t>
      </w:r>
    </w:p>
    <w:p w14:paraId="12221B57" w14:textId="72FBB2A2" w:rsidR="003C24F8" w:rsidRPr="007E4967" w:rsidRDefault="003C24F8" w:rsidP="00643073">
      <w:pPr>
        <w:pStyle w:val="ListParagraph"/>
        <w:numPr>
          <w:ilvl w:val="1"/>
          <w:numId w:val="2"/>
        </w:numPr>
        <w:spacing w:after="160" w:line="259" w:lineRule="auto"/>
        <w:jc w:val="both"/>
      </w:pPr>
      <w:r w:rsidRPr="007E4967">
        <w:t>their usual place of residence is, becomes or was within a program area</w:t>
      </w:r>
      <w:r w:rsidR="00DA498F">
        <w:t>; and</w:t>
      </w:r>
      <w:r w:rsidRPr="007E4967">
        <w:t xml:space="preserve"> </w:t>
      </w:r>
    </w:p>
    <w:p w14:paraId="417F8809" w14:textId="160B0520" w:rsidR="003C24F8" w:rsidRPr="008501B0" w:rsidRDefault="00552F16" w:rsidP="00643073">
      <w:pPr>
        <w:pStyle w:val="ListParagraph"/>
        <w:numPr>
          <w:ilvl w:val="1"/>
          <w:numId w:val="2"/>
        </w:numPr>
        <w:spacing w:after="160" w:line="259" w:lineRule="auto"/>
        <w:jc w:val="both"/>
      </w:pPr>
      <w:r>
        <w:t xml:space="preserve">their </w:t>
      </w:r>
      <w:r w:rsidR="003C24F8" w:rsidRPr="007E4967">
        <w:t>ABSTUDY payments (if any) including living allowance are not being paid to another person</w:t>
      </w:r>
      <w:r w:rsidR="003C24F8">
        <w:t>.</w:t>
      </w:r>
    </w:p>
    <w:p w14:paraId="54929A49" w14:textId="77777777" w:rsidR="003C24F8" w:rsidRPr="007E4967" w:rsidRDefault="003C24F8" w:rsidP="00643073">
      <w:pPr>
        <w:pStyle w:val="ListParagraph"/>
        <w:numPr>
          <w:ilvl w:val="0"/>
          <w:numId w:val="2"/>
        </w:numPr>
        <w:spacing w:after="160" w:line="259" w:lineRule="auto"/>
        <w:jc w:val="both"/>
      </w:pPr>
      <w:bookmarkStart w:id="35" w:name="_Toc67933703"/>
      <w:r w:rsidRPr="00D17AD6">
        <w:rPr>
          <w:rStyle w:val="Heading5Char"/>
        </w:rPr>
        <w:t>Withdrawing from voluntary participation</w:t>
      </w:r>
      <w:bookmarkEnd w:id="35"/>
      <w:r w:rsidRPr="007E4967">
        <w:rPr>
          <w:b/>
        </w:rPr>
        <w:t xml:space="preserve">: </w:t>
      </w:r>
      <w:r w:rsidRPr="007E4967">
        <w:t xml:space="preserve">A voluntary participant may withdraw from the CDC program at any time. </w:t>
      </w:r>
    </w:p>
    <w:p w14:paraId="1735B445" w14:textId="3D00E152" w:rsidR="003C24F8" w:rsidRDefault="003C24F8" w:rsidP="00643073">
      <w:pPr>
        <w:pStyle w:val="ListParagraph"/>
        <w:numPr>
          <w:ilvl w:val="0"/>
          <w:numId w:val="2"/>
        </w:numPr>
        <w:spacing w:after="160" w:line="259" w:lineRule="auto"/>
        <w:jc w:val="both"/>
      </w:pPr>
      <w:bookmarkStart w:id="36" w:name="_Toc67933704"/>
      <w:r w:rsidRPr="00D17AD6">
        <w:rPr>
          <w:rStyle w:val="Heading5Char"/>
        </w:rPr>
        <w:t>Secretary’s discretion</w:t>
      </w:r>
      <w:bookmarkEnd w:id="36"/>
      <w:r w:rsidRPr="008501B0">
        <w:rPr>
          <w:b/>
        </w:rPr>
        <w:t>:</w:t>
      </w:r>
      <w:r>
        <w:t xml:space="preserve"> </w:t>
      </w:r>
      <w:r w:rsidRPr="007E4967">
        <w:t>The Secretary may determine that a person who is a voluntary participant is not to be subject to cashless welfare (CDC) arrangements. The person must be notified of the decision, in writing.</w:t>
      </w:r>
    </w:p>
    <w:p w14:paraId="65D0D2FD" w14:textId="478F4164" w:rsidR="00DA498F" w:rsidRPr="007E4967" w:rsidRDefault="00552F16" w:rsidP="00643073">
      <w:pPr>
        <w:pStyle w:val="ListParagraph"/>
        <w:numPr>
          <w:ilvl w:val="0"/>
          <w:numId w:val="2"/>
        </w:numPr>
        <w:spacing w:after="160" w:line="259" w:lineRule="auto"/>
        <w:jc w:val="both"/>
      </w:pPr>
      <w:r w:rsidRPr="00552F16">
        <w:rPr>
          <w:rStyle w:val="Heading5Char"/>
          <w:bCs/>
        </w:rPr>
        <w:lastRenderedPageBreak/>
        <w:t>Private income participation:</w:t>
      </w:r>
      <w:r>
        <w:rPr>
          <w:rStyle w:val="Heading5Char"/>
          <w:b w:val="0"/>
          <w:bCs/>
        </w:rPr>
        <w:t xml:space="preserve"> </w:t>
      </w:r>
      <w:r w:rsidR="00DA498F">
        <w:rPr>
          <w:rStyle w:val="Heading5Char"/>
          <w:b w:val="0"/>
          <w:bCs/>
        </w:rPr>
        <w:t xml:space="preserve">A person may also volunteer for the CDC program with respect to their private income if they are not receiving Centrelink income. </w:t>
      </w:r>
      <w:r w:rsidR="00EE3441">
        <w:rPr>
          <w:rStyle w:val="Heading5Char"/>
          <w:b w:val="0"/>
          <w:bCs/>
        </w:rPr>
        <w:t>A</w:t>
      </w:r>
      <w:r w:rsidR="00DA498F">
        <w:rPr>
          <w:rStyle w:val="Heading5Char"/>
          <w:b w:val="0"/>
          <w:bCs/>
        </w:rPr>
        <w:t xml:space="preserve">s such an arrangement does not involve social security payments, it is not governed by the </w:t>
      </w:r>
      <w:r w:rsidR="00DA498F">
        <w:rPr>
          <w:rStyle w:val="Heading5Char"/>
          <w:b w:val="0"/>
          <w:bCs/>
          <w:i/>
          <w:iCs/>
        </w:rPr>
        <w:t xml:space="preserve">Social Security (Administration) Act 1999 </w:t>
      </w:r>
      <w:r w:rsidR="00DA498F">
        <w:rPr>
          <w:rStyle w:val="Heading5Char"/>
          <w:b w:val="0"/>
          <w:bCs/>
        </w:rPr>
        <w:t>(Cth)</w:t>
      </w:r>
      <w:r w:rsidR="00EE3441">
        <w:rPr>
          <w:rStyle w:val="Heading5Char"/>
          <w:b w:val="0"/>
          <w:bCs/>
        </w:rPr>
        <w:t xml:space="preserve">, but DSS indicates </w:t>
      </w:r>
      <w:r>
        <w:rPr>
          <w:rStyle w:val="Heading5Char"/>
          <w:b w:val="0"/>
          <w:bCs/>
        </w:rPr>
        <w:t xml:space="preserve">that </w:t>
      </w:r>
      <w:r w:rsidR="00EE3441">
        <w:rPr>
          <w:rStyle w:val="Heading5Char"/>
          <w:b w:val="0"/>
          <w:bCs/>
        </w:rPr>
        <w:t>the CDC will operate the same way as it does for all participants</w:t>
      </w:r>
      <w:r w:rsidR="00DA498F">
        <w:rPr>
          <w:rStyle w:val="Heading5Char"/>
          <w:b w:val="0"/>
          <w:bCs/>
        </w:rPr>
        <w:t xml:space="preserve">.  </w:t>
      </w:r>
    </w:p>
    <w:p w14:paraId="02517511" w14:textId="77777777" w:rsidR="003C24F8" w:rsidRPr="007E4967" w:rsidRDefault="003C24F8" w:rsidP="007624FB">
      <w:pPr>
        <w:pStyle w:val="Heading3"/>
      </w:pPr>
      <w:bookmarkStart w:id="37" w:name="_Toc67933705"/>
      <w:r w:rsidRPr="007E4967">
        <w:t>Exemptions from compulsory participation</w:t>
      </w:r>
      <w:bookmarkEnd w:id="37"/>
    </w:p>
    <w:p w14:paraId="0A04B0EC" w14:textId="77777777" w:rsidR="003C24F8" w:rsidRPr="007E4967" w:rsidRDefault="003C24F8" w:rsidP="00643073">
      <w:pPr>
        <w:pStyle w:val="ListParagraph"/>
        <w:numPr>
          <w:ilvl w:val="0"/>
          <w:numId w:val="2"/>
        </w:numPr>
        <w:spacing w:after="160" w:line="259" w:lineRule="auto"/>
        <w:jc w:val="both"/>
      </w:pPr>
      <w:bookmarkStart w:id="38" w:name="_Toc67933706"/>
      <w:bookmarkStart w:id="39" w:name="_Toc63243600"/>
      <w:r w:rsidRPr="00D17AD6">
        <w:rPr>
          <w:rStyle w:val="Heading5Char"/>
        </w:rPr>
        <w:t>Wellbeing risk</w:t>
      </w:r>
      <w:bookmarkEnd w:id="38"/>
      <w:r w:rsidRPr="007E4967">
        <w:rPr>
          <w:b/>
        </w:rPr>
        <w:t xml:space="preserve">: </w:t>
      </w:r>
      <w:bookmarkEnd w:id="39"/>
      <w:r w:rsidRPr="007E4967">
        <w:t>A person must be exempted from compulsory CDC participation if the Secretary is satisfied that participating “would pose a serious risk to the person’s mental, physical or emotional wellbeing”.</w:t>
      </w:r>
    </w:p>
    <w:p w14:paraId="7103F37F" w14:textId="00DAA5BD" w:rsidR="003C24F8" w:rsidRPr="007E4967" w:rsidRDefault="003C24F8" w:rsidP="00643073">
      <w:pPr>
        <w:pStyle w:val="ListParagraph"/>
        <w:numPr>
          <w:ilvl w:val="1"/>
          <w:numId w:val="2"/>
        </w:numPr>
        <w:spacing w:after="160" w:line="259" w:lineRule="auto"/>
        <w:jc w:val="both"/>
      </w:pPr>
      <w:r w:rsidRPr="007E4967">
        <w:t xml:space="preserve">There is no requirement that a person apply for exemption on these grounds for </w:t>
      </w:r>
      <w:r w:rsidR="00EE3441">
        <w:t xml:space="preserve">an </w:t>
      </w:r>
      <w:r w:rsidR="00552F16">
        <w:t>exemption to be considered</w:t>
      </w:r>
      <w:r>
        <w:t xml:space="preserve"> </w:t>
      </w:r>
    </w:p>
    <w:p w14:paraId="3FA154F3" w14:textId="359663F5" w:rsidR="003C24F8" w:rsidRPr="007E4967" w:rsidRDefault="00552F16" w:rsidP="00643073">
      <w:pPr>
        <w:pStyle w:val="ListParagraph"/>
        <w:numPr>
          <w:ilvl w:val="1"/>
          <w:numId w:val="2"/>
        </w:numPr>
        <w:spacing w:after="160" w:line="259" w:lineRule="auto"/>
        <w:jc w:val="both"/>
      </w:pPr>
      <w:r>
        <w:t>T</w:t>
      </w:r>
      <w:r w:rsidR="003C24F8">
        <w:t>here is no requirement</w:t>
      </w:r>
      <w:r w:rsidR="003C24F8" w:rsidRPr="0041687D">
        <w:t xml:space="preserve"> </w:t>
      </w:r>
      <w:r w:rsidR="003C24F8">
        <w:t>for the Secretary</w:t>
      </w:r>
      <w:r w:rsidR="003C24F8" w:rsidRPr="0041687D">
        <w:t xml:space="preserve"> </w:t>
      </w:r>
      <w:r w:rsidR="003C24F8">
        <w:t>to e</w:t>
      </w:r>
      <w:r w:rsidR="003C24F8" w:rsidRPr="0041687D">
        <w:t>nquire into whether participation would pose a serious risk to the person’s mental, physical or emotional wellbeing.</w:t>
      </w:r>
    </w:p>
    <w:p w14:paraId="2B44C8B8" w14:textId="709A3E4C" w:rsidR="003C24F8" w:rsidRDefault="003C24F8" w:rsidP="00643073">
      <w:pPr>
        <w:pStyle w:val="ListParagraph"/>
        <w:numPr>
          <w:ilvl w:val="0"/>
          <w:numId w:val="2"/>
        </w:numPr>
        <w:spacing w:after="160" w:line="259" w:lineRule="auto"/>
        <w:jc w:val="both"/>
      </w:pPr>
      <w:bookmarkStart w:id="40" w:name="_Toc67933707"/>
      <w:r w:rsidRPr="00D17AD6">
        <w:rPr>
          <w:rStyle w:val="Heading5Char"/>
        </w:rPr>
        <w:t>Exemptions may be revoked</w:t>
      </w:r>
      <w:bookmarkEnd w:id="40"/>
      <w:r w:rsidRPr="007E4967">
        <w:rPr>
          <w:b/>
        </w:rPr>
        <w:t>:</w:t>
      </w:r>
      <w:r>
        <w:t xml:space="preserve"> Where a</w:t>
      </w:r>
      <w:r w:rsidRPr="001F46CC">
        <w:t xml:space="preserve"> State or Territory</w:t>
      </w:r>
      <w:r>
        <w:t xml:space="preserve"> government employee or officer </w:t>
      </w:r>
      <w:r w:rsidRPr="001F46CC">
        <w:t xml:space="preserve">considers that it is necessary for </w:t>
      </w:r>
      <w:r>
        <w:t>a</w:t>
      </w:r>
      <w:r w:rsidRPr="001F46CC">
        <w:t xml:space="preserve"> person to be a program participant for </w:t>
      </w:r>
      <w:r>
        <w:t>‘</w:t>
      </w:r>
      <w:r w:rsidRPr="001F46CC">
        <w:t>medical or safety reasons</w:t>
      </w:r>
      <w:r>
        <w:t>’</w:t>
      </w:r>
      <w:r w:rsidRPr="001F46CC">
        <w:t xml:space="preserve"> relating to th</w:t>
      </w:r>
      <w:r w:rsidR="00552F16">
        <w:t>e person or the person’s dependa</w:t>
      </w:r>
      <w:r w:rsidRPr="001F46CC">
        <w:t>nts, the officer or employee may request the Secretary to reconsider the</w:t>
      </w:r>
      <w:r>
        <w:t xml:space="preserve"> wellbeing</w:t>
      </w:r>
      <w:r w:rsidRPr="001F46CC">
        <w:t xml:space="preserve"> </w:t>
      </w:r>
      <w:r>
        <w:t>exemptio</w:t>
      </w:r>
      <w:r w:rsidRPr="001F46CC">
        <w:t>n</w:t>
      </w:r>
      <w:r>
        <w:t xml:space="preserve">. If the Secretary receives such a referral and is no longer satisfied that participating in the CDC would pose a serious risk to the person’s wellbeing, the Secretary must revoke the exemption. </w:t>
      </w:r>
    </w:p>
    <w:p w14:paraId="08D4F78A" w14:textId="77777777" w:rsidR="003C24F8" w:rsidRDefault="003C24F8" w:rsidP="005818A3">
      <w:pPr>
        <w:pStyle w:val="ListParagraph"/>
        <w:numPr>
          <w:ilvl w:val="0"/>
          <w:numId w:val="2"/>
        </w:numPr>
        <w:spacing w:after="160" w:line="259" w:lineRule="auto"/>
        <w:jc w:val="both"/>
      </w:pPr>
      <w:bookmarkStart w:id="41" w:name="_Toc67933708"/>
      <w:r w:rsidRPr="00D17AD6">
        <w:rPr>
          <w:rStyle w:val="Heading5Char"/>
        </w:rPr>
        <w:t>Appeal rights</w:t>
      </w:r>
      <w:bookmarkEnd w:id="41"/>
      <w:r>
        <w:rPr>
          <w:b/>
        </w:rPr>
        <w:t>:</w:t>
      </w:r>
      <w:r>
        <w:t xml:space="preserve"> a person can seek that a decision to refuse exemption be reviewed by a Centrelink Authorised Review Officer. Authorised Review Officer decisions can be appealed to the Administrative Appeals Tribunal.  </w:t>
      </w:r>
    </w:p>
    <w:p w14:paraId="6D29218D" w14:textId="77777777" w:rsidR="003C24F8" w:rsidRPr="007E4967" w:rsidRDefault="003C24F8" w:rsidP="007624FB">
      <w:pPr>
        <w:pStyle w:val="Heading3"/>
      </w:pPr>
      <w:bookmarkStart w:id="42" w:name="_Toc67933709"/>
      <w:r w:rsidRPr="007E4967">
        <w:t>Exit applications</w:t>
      </w:r>
      <w:bookmarkEnd w:id="42"/>
      <w:r w:rsidRPr="007E4967">
        <w:t xml:space="preserve"> </w:t>
      </w:r>
    </w:p>
    <w:p w14:paraId="5DF915CF" w14:textId="77777777" w:rsidR="003C24F8" w:rsidRPr="007E4967" w:rsidRDefault="003C24F8" w:rsidP="00643073">
      <w:pPr>
        <w:pStyle w:val="ListParagraph"/>
        <w:numPr>
          <w:ilvl w:val="0"/>
          <w:numId w:val="2"/>
        </w:numPr>
        <w:spacing w:after="160" w:line="259" w:lineRule="auto"/>
        <w:jc w:val="both"/>
      </w:pPr>
      <w:bookmarkStart w:id="43" w:name="_Toc67933710"/>
      <w:r w:rsidRPr="00D17AD6">
        <w:rPr>
          <w:rStyle w:val="Heading5Char"/>
        </w:rPr>
        <w:t>“Reasonable and responsible management of affairs”</w:t>
      </w:r>
      <w:bookmarkEnd w:id="43"/>
      <w:r w:rsidRPr="007E4967">
        <w:rPr>
          <w:b/>
        </w:rPr>
        <w:t>:</w:t>
      </w:r>
      <w:r>
        <w:t xml:space="preserve"> </w:t>
      </w:r>
      <w:r w:rsidRPr="007E4967">
        <w:t>A person may apply to the Secretary to exit the cashless welfare arrangements if they can demonstrate reasonable and responsible management of their affairs.</w:t>
      </w:r>
      <w:r w:rsidRPr="00645BAE">
        <w:t xml:space="preserve"> </w:t>
      </w:r>
      <w:r w:rsidRPr="00AE488F">
        <w:t xml:space="preserve">Exit applications are determined on a case by case basis. </w:t>
      </w:r>
    </w:p>
    <w:p w14:paraId="37C67C25" w14:textId="4E3D9F67" w:rsidR="003C24F8" w:rsidRPr="00913271" w:rsidRDefault="003C24F8" w:rsidP="00643073">
      <w:pPr>
        <w:pStyle w:val="ListParagraph"/>
        <w:numPr>
          <w:ilvl w:val="0"/>
          <w:numId w:val="2"/>
        </w:numPr>
        <w:spacing w:after="160" w:line="259" w:lineRule="auto"/>
        <w:jc w:val="both"/>
      </w:pPr>
      <w:bookmarkStart w:id="44" w:name="_Toc67933711"/>
      <w:r w:rsidRPr="00D17AD6">
        <w:rPr>
          <w:rStyle w:val="Heading5Char"/>
        </w:rPr>
        <w:t>Form of application</w:t>
      </w:r>
      <w:bookmarkEnd w:id="44"/>
      <w:r w:rsidRPr="00913271">
        <w:t>: Exit applications must be made in writing using a form approved by the Secretary (a standard proforma), and</w:t>
      </w:r>
      <w:r w:rsidR="00EE3441">
        <w:t xml:space="preserve"> should</w:t>
      </w:r>
      <w:r w:rsidRPr="00913271">
        <w:t xml:space="preserve"> </w:t>
      </w:r>
      <w:r>
        <w:t>b</w:t>
      </w:r>
      <w:r w:rsidRPr="00913271">
        <w:t>e accompanied by the documents and other information required by the form.</w:t>
      </w:r>
    </w:p>
    <w:p w14:paraId="54955807" w14:textId="7D653D43" w:rsidR="003C24F8" w:rsidRPr="007E4967" w:rsidRDefault="003C24F8" w:rsidP="00643073">
      <w:pPr>
        <w:pStyle w:val="ListParagraph"/>
        <w:numPr>
          <w:ilvl w:val="0"/>
          <w:numId w:val="2"/>
        </w:numPr>
        <w:spacing w:after="160" w:line="259" w:lineRule="auto"/>
        <w:jc w:val="both"/>
      </w:pPr>
      <w:bookmarkStart w:id="45" w:name="_Toc67933712"/>
      <w:r w:rsidRPr="00D17AD6">
        <w:rPr>
          <w:rStyle w:val="Heading5Char"/>
        </w:rPr>
        <w:t>Ministerial guidelines</w:t>
      </w:r>
      <w:bookmarkEnd w:id="45"/>
      <w:r w:rsidRPr="008501B0">
        <w:rPr>
          <w:b/>
        </w:rPr>
        <w:t xml:space="preserve">: </w:t>
      </w:r>
      <w:r w:rsidRPr="007E4967">
        <w:t xml:space="preserve">The </w:t>
      </w:r>
      <w:r w:rsidR="00EE3441">
        <w:t xml:space="preserve">recent </w:t>
      </w:r>
      <w:r w:rsidRPr="007E4967">
        <w:t>amendments provide for a new Ministerial power to mak</w:t>
      </w:r>
      <w:r w:rsidR="00EE3441">
        <w:t>e</w:t>
      </w:r>
      <w:r w:rsidRPr="007E4967">
        <w:t xml:space="preserve"> a legislative instrument determining decision-making principles for existing exit criteria.  </w:t>
      </w:r>
    </w:p>
    <w:p w14:paraId="005EF46A" w14:textId="77777777" w:rsidR="003C24F8" w:rsidRPr="007E4967" w:rsidRDefault="003C24F8" w:rsidP="00643073">
      <w:pPr>
        <w:pStyle w:val="ListParagraph"/>
        <w:numPr>
          <w:ilvl w:val="0"/>
          <w:numId w:val="2"/>
        </w:numPr>
        <w:spacing w:after="160" w:line="259" w:lineRule="auto"/>
        <w:jc w:val="both"/>
      </w:pPr>
      <w:bookmarkStart w:id="46" w:name="_Toc67933713"/>
      <w:r w:rsidRPr="00D17AD6">
        <w:rPr>
          <w:rStyle w:val="Heading5Char"/>
        </w:rPr>
        <w:t>Exit criteria</w:t>
      </w:r>
      <w:bookmarkEnd w:id="46"/>
      <w:r w:rsidRPr="007E4967">
        <w:rPr>
          <w:b/>
        </w:rPr>
        <w:t>:</w:t>
      </w:r>
      <w:r>
        <w:t xml:space="preserve"> </w:t>
      </w:r>
      <w:r w:rsidRPr="007E4967">
        <w:t>The Secretary may determine that the person is not a program participant if the Secretary is satisfied that the person meets the following criteria:</w:t>
      </w:r>
    </w:p>
    <w:p w14:paraId="55D34140" w14:textId="77777777" w:rsidR="003C24F8" w:rsidRPr="007E4967" w:rsidRDefault="003C24F8" w:rsidP="00643073">
      <w:pPr>
        <w:pStyle w:val="ListParagraph"/>
        <w:numPr>
          <w:ilvl w:val="1"/>
          <w:numId w:val="2"/>
        </w:numPr>
        <w:spacing w:after="160" w:line="259" w:lineRule="auto"/>
        <w:jc w:val="both"/>
      </w:pPr>
      <w:r w:rsidRPr="007E4967">
        <w:t>they can “demonstrate reasonable and responsible management of (their) affairs (including financial affairs), taking into account all of the following:</w:t>
      </w:r>
    </w:p>
    <w:p w14:paraId="247B1DAD" w14:textId="77777777" w:rsidR="003C24F8" w:rsidRPr="007E4967" w:rsidRDefault="003C24F8" w:rsidP="00643073">
      <w:pPr>
        <w:pStyle w:val="ListParagraph"/>
        <w:numPr>
          <w:ilvl w:val="0"/>
          <w:numId w:val="3"/>
        </w:numPr>
        <w:spacing w:after="160" w:line="259" w:lineRule="auto"/>
        <w:jc w:val="both"/>
      </w:pPr>
      <w:r w:rsidRPr="007E4967">
        <w:t>the interest of any children for whom they are responsible</w:t>
      </w:r>
    </w:p>
    <w:p w14:paraId="222E4D84" w14:textId="77777777" w:rsidR="003C24F8" w:rsidRPr="007E4967" w:rsidRDefault="003C24F8" w:rsidP="00643073">
      <w:pPr>
        <w:pStyle w:val="ListParagraph"/>
        <w:numPr>
          <w:ilvl w:val="0"/>
          <w:numId w:val="3"/>
        </w:numPr>
        <w:spacing w:after="160" w:line="259" w:lineRule="auto"/>
        <w:jc w:val="both"/>
      </w:pPr>
      <w:r>
        <w:t>convictions for any offences</w:t>
      </w:r>
      <w:r w:rsidRPr="008A088B">
        <w:t>, or imprisonment for such an offe</w:t>
      </w:r>
      <w:r>
        <w:t>nce</w:t>
      </w:r>
      <w:r w:rsidRPr="008A088B">
        <w:t xml:space="preserve"> </w:t>
      </w:r>
      <w:r>
        <w:t>within in the last 12 months</w:t>
      </w:r>
    </w:p>
    <w:p w14:paraId="6560885C" w14:textId="77777777" w:rsidR="003C24F8" w:rsidRPr="007E4967" w:rsidRDefault="003C24F8" w:rsidP="00643073">
      <w:pPr>
        <w:pStyle w:val="ListParagraph"/>
        <w:numPr>
          <w:ilvl w:val="0"/>
          <w:numId w:val="3"/>
        </w:numPr>
        <w:spacing w:after="160" w:line="259" w:lineRule="auto"/>
        <w:jc w:val="both"/>
      </w:pPr>
      <w:r>
        <w:t>risk of homelessness</w:t>
      </w:r>
    </w:p>
    <w:p w14:paraId="435C0F3B" w14:textId="77777777" w:rsidR="003C24F8" w:rsidRPr="007E4967" w:rsidRDefault="003C24F8" w:rsidP="00643073">
      <w:pPr>
        <w:pStyle w:val="ListParagraph"/>
        <w:numPr>
          <w:ilvl w:val="0"/>
          <w:numId w:val="3"/>
        </w:numPr>
        <w:spacing w:after="160" w:line="259" w:lineRule="auto"/>
        <w:jc w:val="both"/>
      </w:pPr>
      <w:r w:rsidRPr="008A088B">
        <w:t xml:space="preserve">the health and safety </w:t>
      </w:r>
      <w:r>
        <w:t>of the person and the community</w:t>
      </w:r>
    </w:p>
    <w:p w14:paraId="3DC13428" w14:textId="77777777" w:rsidR="003C24F8" w:rsidRPr="007E4967" w:rsidRDefault="003C24F8" w:rsidP="00643073">
      <w:pPr>
        <w:pStyle w:val="ListParagraph"/>
        <w:numPr>
          <w:ilvl w:val="0"/>
          <w:numId w:val="3"/>
        </w:numPr>
        <w:spacing w:after="160" w:line="259" w:lineRule="auto"/>
        <w:jc w:val="both"/>
      </w:pPr>
      <w:r w:rsidRPr="008A088B">
        <w:t>the</w:t>
      </w:r>
      <w:r>
        <w:t>ir</w:t>
      </w:r>
      <w:r w:rsidRPr="008A088B">
        <w:t xml:space="preserve"> responsibilities and circumstances </w:t>
      </w:r>
    </w:p>
    <w:p w14:paraId="37FAC7AF" w14:textId="77777777" w:rsidR="003C24F8" w:rsidRPr="007E4967" w:rsidRDefault="003C24F8" w:rsidP="00643073">
      <w:pPr>
        <w:pStyle w:val="ListParagraph"/>
        <w:numPr>
          <w:ilvl w:val="0"/>
          <w:numId w:val="3"/>
        </w:numPr>
        <w:spacing w:after="160" w:line="259" w:lineRule="auto"/>
        <w:jc w:val="both"/>
      </w:pPr>
      <w:r>
        <w:t>their</w:t>
      </w:r>
      <w:r w:rsidRPr="008A088B">
        <w:t xml:space="preserve"> engagement in the community, including employment or efforts to obtain work; and</w:t>
      </w:r>
    </w:p>
    <w:p w14:paraId="2ACB66A8" w14:textId="77777777" w:rsidR="003C24F8" w:rsidRPr="007E4967" w:rsidRDefault="003C24F8" w:rsidP="00643073">
      <w:pPr>
        <w:pStyle w:val="ListParagraph"/>
        <w:numPr>
          <w:ilvl w:val="0"/>
          <w:numId w:val="3"/>
        </w:numPr>
        <w:spacing w:after="160" w:line="259" w:lineRule="auto"/>
        <w:jc w:val="both"/>
      </w:pPr>
      <w:r>
        <w:t>they</w:t>
      </w:r>
      <w:r w:rsidRPr="008A088B">
        <w:t xml:space="preserve"> satisf</w:t>
      </w:r>
      <w:r>
        <w:t>y</w:t>
      </w:r>
      <w:r w:rsidRPr="008A088B">
        <w:t xml:space="preserve"> any requirements </w:t>
      </w:r>
      <w:r>
        <w:t>set out</w:t>
      </w:r>
      <w:r w:rsidRPr="008A088B">
        <w:t xml:space="preserve"> in a</w:t>
      </w:r>
      <w:r>
        <w:t>n</w:t>
      </w:r>
      <w:r w:rsidRPr="008A088B">
        <w:t xml:space="preserve"> instrument.</w:t>
      </w:r>
    </w:p>
    <w:p w14:paraId="582E0BF4" w14:textId="77777777" w:rsidR="003C24F8" w:rsidRPr="007E4967" w:rsidRDefault="003C24F8" w:rsidP="00643073">
      <w:pPr>
        <w:pStyle w:val="ListParagraph"/>
        <w:numPr>
          <w:ilvl w:val="0"/>
          <w:numId w:val="2"/>
        </w:numPr>
        <w:spacing w:after="160" w:line="259" w:lineRule="auto"/>
        <w:jc w:val="both"/>
      </w:pPr>
      <w:bookmarkStart w:id="47" w:name="_Toc67933714"/>
      <w:r w:rsidRPr="00D17AD6">
        <w:rPr>
          <w:rStyle w:val="Heading5Char"/>
        </w:rPr>
        <w:lastRenderedPageBreak/>
        <w:t>Notices</w:t>
      </w:r>
      <w:bookmarkEnd w:id="47"/>
      <w:r w:rsidRPr="007E4967">
        <w:rPr>
          <w:b/>
        </w:rPr>
        <w:t xml:space="preserve">: </w:t>
      </w:r>
      <w:r w:rsidRPr="007E4967">
        <w:t xml:space="preserve">The person must be notified in writing of the Secretary’s decision. If the Secretary refuses the exit application, the notice of the decision must set out the reasons for the refusal. </w:t>
      </w:r>
    </w:p>
    <w:p w14:paraId="798D7012" w14:textId="4BD22DC5" w:rsidR="003C24F8" w:rsidRDefault="003C24F8" w:rsidP="00643073">
      <w:pPr>
        <w:pStyle w:val="ListParagraph"/>
        <w:numPr>
          <w:ilvl w:val="0"/>
          <w:numId w:val="2"/>
        </w:numPr>
        <w:spacing w:after="160" w:line="259" w:lineRule="auto"/>
        <w:jc w:val="both"/>
      </w:pPr>
      <w:bookmarkStart w:id="48" w:name="_Toc67933715"/>
      <w:r w:rsidRPr="00D17AD6">
        <w:rPr>
          <w:rStyle w:val="Heading5Char"/>
        </w:rPr>
        <w:t>Deemed approvals</w:t>
      </w:r>
      <w:bookmarkEnd w:id="48"/>
      <w:r w:rsidRPr="007E4967">
        <w:rPr>
          <w:b/>
        </w:rPr>
        <w:t xml:space="preserve">: </w:t>
      </w:r>
      <w:r w:rsidRPr="007E4967">
        <w:t xml:space="preserve">If the Secretary has not made a decision on a person’s </w:t>
      </w:r>
      <w:r w:rsidR="009E7303">
        <w:t xml:space="preserve">(valid) </w:t>
      </w:r>
      <w:r w:rsidRPr="007E4967">
        <w:t xml:space="preserve">application after 60 days, then the Secretary is taken to have approved the exit application. </w:t>
      </w:r>
    </w:p>
    <w:p w14:paraId="421159FA" w14:textId="77777777" w:rsidR="003C24F8" w:rsidRPr="007E4967" w:rsidRDefault="003C24F8" w:rsidP="005818A3">
      <w:pPr>
        <w:pStyle w:val="ListParagraph"/>
        <w:numPr>
          <w:ilvl w:val="0"/>
          <w:numId w:val="2"/>
        </w:numPr>
        <w:spacing w:after="160" w:line="259" w:lineRule="auto"/>
        <w:jc w:val="both"/>
      </w:pPr>
      <w:bookmarkStart w:id="49" w:name="_Toc67933716"/>
      <w:r w:rsidRPr="00D17AD6">
        <w:rPr>
          <w:rStyle w:val="Heading5Char"/>
        </w:rPr>
        <w:t>Appeal rights</w:t>
      </w:r>
      <w:bookmarkEnd w:id="49"/>
      <w:r w:rsidRPr="007C76DD">
        <w:rPr>
          <w:b/>
        </w:rPr>
        <w:t>:</w:t>
      </w:r>
      <w:r w:rsidRPr="007C76DD">
        <w:t xml:space="preserve"> a person can seek </w:t>
      </w:r>
      <w:r>
        <w:t>that</w:t>
      </w:r>
      <w:r w:rsidRPr="007C76DD">
        <w:t xml:space="preserve"> a decision to refuse </w:t>
      </w:r>
      <w:r>
        <w:t>an exit application be reviewed</w:t>
      </w:r>
      <w:r w:rsidRPr="007C76DD">
        <w:t xml:space="preserve"> by a Centrelink Authorised Review Officer. Authorised Review Officer decisions can be appealed to the Administrative Appeals Tribunal.  </w:t>
      </w:r>
    </w:p>
    <w:p w14:paraId="2EB593FA" w14:textId="77777777" w:rsidR="003C24F8" w:rsidRPr="007E4967" w:rsidRDefault="003C24F8" w:rsidP="007624FB">
      <w:pPr>
        <w:pStyle w:val="Heading3"/>
      </w:pPr>
      <w:bookmarkStart w:id="50" w:name="_Toc67933717"/>
      <w:r w:rsidRPr="007E4967">
        <w:t>Reconsideration of exit determinations</w:t>
      </w:r>
      <w:bookmarkEnd w:id="50"/>
    </w:p>
    <w:p w14:paraId="06FAB497" w14:textId="77777777" w:rsidR="003C24F8" w:rsidRDefault="003C24F8" w:rsidP="00643073">
      <w:pPr>
        <w:pStyle w:val="ListParagraph"/>
        <w:numPr>
          <w:ilvl w:val="0"/>
          <w:numId w:val="2"/>
        </w:numPr>
        <w:spacing w:after="160" w:line="259" w:lineRule="auto"/>
        <w:jc w:val="both"/>
      </w:pPr>
      <w:bookmarkStart w:id="51" w:name="_Toc67933718"/>
      <w:r w:rsidRPr="00D17AD6">
        <w:rPr>
          <w:rStyle w:val="Heading5Char"/>
        </w:rPr>
        <w:t>Reversal of exit approvals</w:t>
      </w:r>
      <w:bookmarkEnd w:id="51"/>
      <w:r w:rsidRPr="007E4967">
        <w:rPr>
          <w:b/>
        </w:rPr>
        <w:t xml:space="preserve">: </w:t>
      </w:r>
      <w:r w:rsidRPr="007E4967">
        <w:t>If a health or community worker considers that an exit decision should be overturned for medical or safety reasons, they may request that the Secretary review the exit approval.</w:t>
      </w:r>
    </w:p>
    <w:p w14:paraId="5AEEC55E" w14:textId="77777777" w:rsidR="003C24F8" w:rsidRDefault="003C24F8" w:rsidP="00643073">
      <w:pPr>
        <w:pStyle w:val="ListParagraph"/>
        <w:numPr>
          <w:ilvl w:val="1"/>
          <w:numId w:val="2"/>
        </w:numPr>
        <w:spacing w:after="160" w:line="259" w:lineRule="auto"/>
        <w:jc w:val="both"/>
      </w:pPr>
      <w:r w:rsidRPr="007E4967">
        <w:t>If the Secretary receives such a request and the Secretary is no longer satisfied that the person can demonstrate reasonable and responsible management of their affairs, the Secretary must revoke the determination.</w:t>
      </w:r>
    </w:p>
    <w:p w14:paraId="1DA10197" w14:textId="72BF222E" w:rsidR="003C24F8" w:rsidRPr="007E4967" w:rsidRDefault="003C24F8" w:rsidP="00643073">
      <w:pPr>
        <w:pStyle w:val="ListParagraph"/>
        <w:numPr>
          <w:ilvl w:val="1"/>
          <w:numId w:val="2"/>
        </w:numPr>
        <w:spacing w:after="160" w:line="259" w:lineRule="auto"/>
        <w:jc w:val="both"/>
      </w:pPr>
      <w:r w:rsidRPr="007E4967">
        <w:t>The Secretary has the power to review and revoke any existing or future exit determinations if</w:t>
      </w:r>
      <w:r w:rsidR="009E7303">
        <w:t xml:space="preserve"> no longer</w:t>
      </w:r>
      <w:r w:rsidRPr="007E4967">
        <w:t xml:space="preserve"> satisfied that a person is reasonably and responsibly managing their affairs.</w:t>
      </w:r>
    </w:p>
    <w:p w14:paraId="44C6C08B" w14:textId="77777777" w:rsidR="003C24F8" w:rsidRPr="007E4967" w:rsidRDefault="003C24F8" w:rsidP="00643073">
      <w:pPr>
        <w:pStyle w:val="ListParagraph"/>
        <w:numPr>
          <w:ilvl w:val="0"/>
          <w:numId w:val="2"/>
        </w:numPr>
        <w:spacing w:after="160" w:line="259" w:lineRule="auto"/>
        <w:jc w:val="both"/>
      </w:pPr>
      <w:bookmarkStart w:id="52" w:name="_Toc67933719"/>
      <w:r w:rsidRPr="00D17AD6">
        <w:rPr>
          <w:rStyle w:val="Heading5Char"/>
        </w:rPr>
        <w:t>Person may reapply to exit</w:t>
      </w:r>
      <w:bookmarkEnd w:id="52"/>
      <w:r w:rsidRPr="007E4967">
        <w:rPr>
          <w:b/>
        </w:rPr>
        <w:t xml:space="preserve">: </w:t>
      </w:r>
      <w:r w:rsidRPr="007E4967">
        <w:t>A decision to revoke an exit determination does not prevent the person from making another application</w:t>
      </w:r>
      <w:r>
        <w:t xml:space="preserve"> to exit the CDC program</w:t>
      </w:r>
      <w:r w:rsidRPr="007E4967">
        <w:t>.</w:t>
      </w:r>
    </w:p>
    <w:p w14:paraId="17D5614D" w14:textId="77777777" w:rsidR="003C24F8" w:rsidRPr="007E4967" w:rsidRDefault="003C24F8" w:rsidP="007624FB">
      <w:pPr>
        <w:pStyle w:val="Heading3"/>
      </w:pPr>
      <w:bookmarkStart w:id="53" w:name="_Toc63243603"/>
      <w:bookmarkStart w:id="54" w:name="_Toc67933720"/>
      <w:bookmarkEnd w:id="53"/>
      <w:r w:rsidRPr="007E4967">
        <w:t>Unrestricted access - tech issues, natural disaster, national emergency, financial hardship</w:t>
      </w:r>
      <w:bookmarkEnd w:id="54"/>
    </w:p>
    <w:p w14:paraId="7002816A" w14:textId="77777777" w:rsidR="003C24F8" w:rsidRPr="007E4967" w:rsidRDefault="003C24F8" w:rsidP="00643073">
      <w:pPr>
        <w:pStyle w:val="ListParagraph"/>
        <w:numPr>
          <w:ilvl w:val="0"/>
          <w:numId w:val="2"/>
        </w:numPr>
        <w:spacing w:after="160" w:line="259" w:lineRule="auto"/>
        <w:jc w:val="both"/>
      </w:pPr>
      <w:bookmarkStart w:id="55" w:name="_Toc67933721"/>
      <w:r w:rsidRPr="00D17AD6">
        <w:rPr>
          <w:rStyle w:val="Heading5Char"/>
        </w:rPr>
        <w:t>Card use issues</w:t>
      </w:r>
      <w:bookmarkEnd w:id="55"/>
      <w:r w:rsidRPr="008501B0">
        <w:rPr>
          <w:b/>
        </w:rPr>
        <w:t>:</w:t>
      </w:r>
      <w:r>
        <w:t xml:space="preserve"> </w:t>
      </w:r>
      <w:r w:rsidRPr="007E4967">
        <w:t>A person can be given unrestricted access to their payments for a period if they are unable to use or their CDC card or access their account, as a direct result of:</w:t>
      </w:r>
    </w:p>
    <w:p w14:paraId="2B2BB36C" w14:textId="77777777" w:rsidR="003C24F8" w:rsidRPr="007E4967" w:rsidRDefault="003C24F8" w:rsidP="00643073">
      <w:pPr>
        <w:pStyle w:val="ListParagraph"/>
        <w:numPr>
          <w:ilvl w:val="1"/>
          <w:numId w:val="2"/>
        </w:numPr>
        <w:spacing w:after="160" w:line="259" w:lineRule="auto"/>
        <w:jc w:val="both"/>
      </w:pPr>
      <w:r w:rsidRPr="007E4967">
        <w:t>a technological fault or malfunction with that card or account; or</w:t>
      </w:r>
    </w:p>
    <w:p w14:paraId="468F1013" w14:textId="77777777" w:rsidR="003C24F8" w:rsidRPr="007E4967" w:rsidRDefault="003C24F8" w:rsidP="00643073">
      <w:pPr>
        <w:pStyle w:val="ListParagraph"/>
        <w:numPr>
          <w:ilvl w:val="1"/>
          <w:numId w:val="2"/>
        </w:numPr>
        <w:spacing w:after="160" w:line="259" w:lineRule="auto"/>
        <w:jc w:val="both"/>
      </w:pPr>
      <w:r w:rsidRPr="007E4967">
        <w:t>a natural disaster; or</w:t>
      </w:r>
    </w:p>
    <w:p w14:paraId="79687A92" w14:textId="77777777" w:rsidR="003C24F8" w:rsidRPr="007E4967" w:rsidRDefault="003C24F8" w:rsidP="00643073">
      <w:pPr>
        <w:pStyle w:val="ListParagraph"/>
        <w:numPr>
          <w:ilvl w:val="1"/>
          <w:numId w:val="2"/>
        </w:numPr>
        <w:spacing w:after="160" w:line="259" w:lineRule="auto"/>
        <w:jc w:val="both"/>
      </w:pPr>
      <w:r w:rsidRPr="007E4967">
        <w:t>if a national emergency declaration (within the meaning of the National Emergency Declaration Act 2020) is in force—an emergency to which the declaration relates.</w:t>
      </w:r>
    </w:p>
    <w:p w14:paraId="383332CB" w14:textId="77777777" w:rsidR="003C24F8" w:rsidRPr="007E4967" w:rsidRDefault="003C24F8" w:rsidP="00643073">
      <w:pPr>
        <w:pStyle w:val="ListParagraph"/>
        <w:numPr>
          <w:ilvl w:val="0"/>
          <w:numId w:val="2"/>
        </w:numPr>
        <w:spacing w:after="160" w:line="259" w:lineRule="auto"/>
        <w:jc w:val="both"/>
      </w:pPr>
      <w:bookmarkStart w:id="56" w:name="_Toc67933722"/>
      <w:r w:rsidRPr="00D17AD6">
        <w:rPr>
          <w:rStyle w:val="Heading5Char"/>
        </w:rPr>
        <w:t>Financial hardship</w:t>
      </w:r>
      <w:bookmarkEnd w:id="56"/>
      <w:r>
        <w:t xml:space="preserve">: </w:t>
      </w:r>
      <w:r w:rsidRPr="007E4967">
        <w:t xml:space="preserve">A person can also be given unrestricted access to their payments for a period if they are “in severe financial hardship as a result of exceptional and unforeseen circumstances”. </w:t>
      </w:r>
    </w:p>
    <w:p w14:paraId="1F30640C" w14:textId="77777777" w:rsidR="003C24F8" w:rsidRPr="00CD5FEC" w:rsidRDefault="003C24F8" w:rsidP="007624FB">
      <w:pPr>
        <w:pStyle w:val="Heading3"/>
      </w:pPr>
      <w:bookmarkStart w:id="57" w:name="_Toc67933723"/>
      <w:bookmarkStart w:id="58" w:name="_Toc63243605"/>
      <w:r w:rsidRPr="007E4967">
        <w:t>% adjustments as a result of directions by community body</w:t>
      </w:r>
      <w:bookmarkEnd w:id="57"/>
    </w:p>
    <w:p w14:paraId="1E7AF315" w14:textId="77777777" w:rsidR="003C24F8" w:rsidRPr="007E4967" w:rsidRDefault="003C24F8" w:rsidP="00643073">
      <w:pPr>
        <w:pStyle w:val="ListParagraph"/>
        <w:numPr>
          <w:ilvl w:val="0"/>
          <w:numId w:val="2"/>
        </w:numPr>
        <w:spacing w:after="160" w:line="259" w:lineRule="auto"/>
        <w:jc w:val="both"/>
      </w:pPr>
      <w:bookmarkStart w:id="59" w:name="_Toc67933724"/>
      <w:bookmarkEnd w:id="58"/>
      <w:r w:rsidRPr="00D17AD6">
        <w:rPr>
          <w:rStyle w:val="Heading5Char"/>
        </w:rPr>
        <w:t>Community body directions</w:t>
      </w:r>
      <w:bookmarkEnd w:id="59"/>
      <w:r w:rsidRPr="008501B0">
        <w:rPr>
          <w:b/>
        </w:rPr>
        <w:t>:</w:t>
      </w:r>
      <w:r>
        <w:t xml:space="preserve"> </w:t>
      </w:r>
      <w:r w:rsidRPr="007E4967">
        <w:t xml:space="preserve">A </w:t>
      </w:r>
      <w:r>
        <w:t>“</w:t>
      </w:r>
      <w:r w:rsidRPr="007E4967">
        <w:t>community body</w:t>
      </w:r>
      <w:r>
        <w:t>” (specified community organisations that provide care, protection, welfare or safety services)</w:t>
      </w:r>
      <w:r w:rsidRPr="007E4967">
        <w:t xml:space="preserve"> may give the Secretary a written direction to vary the restricted portion for a compulsory program participant or a voluntary participant. The written direction: </w:t>
      </w:r>
    </w:p>
    <w:p w14:paraId="6DCC347C" w14:textId="77777777" w:rsidR="003C24F8" w:rsidRPr="007E4967" w:rsidRDefault="003C24F8" w:rsidP="00643073">
      <w:pPr>
        <w:pStyle w:val="ListParagraph"/>
        <w:numPr>
          <w:ilvl w:val="1"/>
          <w:numId w:val="2"/>
        </w:numPr>
        <w:spacing w:after="160" w:line="259" w:lineRule="auto"/>
        <w:jc w:val="both"/>
      </w:pPr>
      <w:r w:rsidRPr="002F5C67">
        <w:t xml:space="preserve">must reflect an agreement between the community body and the </w:t>
      </w:r>
      <w:r>
        <w:t>person</w:t>
      </w:r>
      <w:r w:rsidRPr="002F5C67">
        <w:t>; and</w:t>
      </w:r>
    </w:p>
    <w:p w14:paraId="4E065A4E" w14:textId="77777777" w:rsidR="003C24F8" w:rsidRPr="007E4967" w:rsidRDefault="003C24F8" w:rsidP="00643073">
      <w:pPr>
        <w:pStyle w:val="ListParagraph"/>
        <w:numPr>
          <w:ilvl w:val="1"/>
          <w:numId w:val="2"/>
        </w:numPr>
        <w:spacing w:after="160" w:line="259" w:lineRule="auto"/>
        <w:jc w:val="both"/>
      </w:pPr>
      <w:r w:rsidRPr="002F5C67">
        <w:t xml:space="preserve">may only be changed by the community body with the agreement of the </w:t>
      </w:r>
      <w:r>
        <w:t>person</w:t>
      </w:r>
      <w:r w:rsidRPr="002F5C67">
        <w:t>; and</w:t>
      </w:r>
    </w:p>
    <w:p w14:paraId="64C3337B" w14:textId="77777777" w:rsidR="003C24F8" w:rsidRPr="007E4967" w:rsidRDefault="003C24F8" w:rsidP="00643073">
      <w:pPr>
        <w:pStyle w:val="ListParagraph"/>
        <w:numPr>
          <w:ilvl w:val="1"/>
          <w:numId w:val="2"/>
        </w:numPr>
        <w:spacing w:after="160" w:line="259" w:lineRule="auto"/>
        <w:jc w:val="both"/>
      </w:pPr>
      <w:r w:rsidRPr="002F5C67">
        <w:t xml:space="preserve">must be revoked by the community body if there is no longer agreement between the body and the </w:t>
      </w:r>
      <w:r>
        <w:t>person</w:t>
      </w:r>
      <w:r w:rsidRPr="002F5C67">
        <w:t>; and</w:t>
      </w:r>
    </w:p>
    <w:p w14:paraId="2F9AEB06" w14:textId="77777777" w:rsidR="003C24F8" w:rsidRPr="002F5C67" w:rsidRDefault="003C24F8" w:rsidP="00643073">
      <w:pPr>
        <w:pStyle w:val="ListParagraph"/>
        <w:numPr>
          <w:ilvl w:val="1"/>
          <w:numId w:val="2"/>
        </w:numPr>
        <w:spacing w:after="160" w:line="259" w:lineRule="auto"/>
        <w:jc w:val="both"/>
      </w:pPr>
      <w:r w:rsidRPr="002F5C67">
        <w:t>ceases to have effect on and after the day that the community body stops being authorised as a community body.</w:t>
      </w:r>
    </w:p>
    <w:p w14:paraId="653709E3" w14:textId="77777777" w:rsidR="00982A06" w:rsidRPr="008449C7" w:rsidRDefault="003C24F8" w:rsidP="00643073">
      <w:pPr>
        <w:pStyle w:val="ListParagraph"/>
        <w:numPr>
          <w:ilvl w:val="0"/>
          <w:numId w:val="2"/>
        </w:numPr>
        <w:spacing w:after="160" w:line="259" w:lineRule="auto"/>
        <w:jc w:val="both"/>
      </w:pPr>
      <w:bookmarkStart w:id="60" w:name="_Toc67933725"/>
      <w:r w:rsidRPr="00D17AD6">
        <w:rPr>
          <w:rStyle w:val="Heading5Char"/>
        </w:rPr>
        <w:t>% range</w:t>
      </w:r>
      <w:bookmarkEnd w:id="60"/>
      <w:r w:rsidRPr="008501B0">
        <w:rPr>
          <w:b/>
        </w:rPr>
        <w:t>:</w:t>
      </w:r>
      <w:r>
        <w:t xml:space="preserve"> </w:t>
      </w:r>
      <w:r w:rsidRPr="007E4967">
        <w:t>The percentage amounts specified in the written direction may be a percentage in the range of 50% to 80% for the restricted portion.</w:t>
      </w:r>
    </w:p>
    <w:sectPr w:rsidR="00982A06" w:rsidRPr="008449C7" w:rsidSect="003C24F8">
      <w:headerReference w:type="default" r:id="rId14"/>
      <w:footerReference w:type="default" r:id="rId15"/>
      <w:pgSz w:w="11906" w:h="16838"/>
      <w:pgMar w:top="2342" w:right="1134" w:bottom="851" w:left="1134"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F0E0" w16cex:dateUtc="2021-03-31T02:00:00Z"/>
  <w16cex:commentExtensible w16cex:durableId="240ED93C" w16cex:dateUtc="2021-03-31T00:19:00Z"/>
  <w16cex:commentExtensible w16cex:durableId="240EDABD" w16cex:dateUtc="2021-03-31T00:25:00Z"/>
  <w16cex:commentExtensible w16cex:durableId="240EE403" w16cex:dateUtc="2021-03-31T01:05:00Z"/>
  <w16cex:commentExtensible w16cex:durableId="240EE516" w16cex:dateUtc="2021-03-31T01:09:00Z"/>
  <w16cex:commentExtensible w16cex:durableId="240EEB14" w16cex:dateUtc="2021-03-31T01:35:00Z"/>
  <w16cex:commentExtensible w16cex:durableId="240EED91" w16cex:dateUtc="2021-03-31T01:46:00Z"/>
  <w16cex:commentExtensible w16cex:durableId="240EF063" w16cex:dateUtc="2021-03-31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62CC2F" w16cid:durableId="240EF0E0"/>
  <w16cid:commentId w16cid:paraId="49C03E3F" w16cid:durableId="240ED93C"/>
  <w16cid:commentId w16cid:paraId="2A064701" w16cid:durableId="240EDABD"/>
  <w16cid:commentId w16cid:paraId="26ADD12E" w16cid:durableId="240EE403"/>
  <w16cid:commentId w16cid:paraId="609AA723" w16cid:durableId="240EE516"/>
  <w16cid:commentId w16cid:paraId="28FE9B19" w16cid:durableId="240EEB14"/>
  <w16cid:commentId w16cid:paraId="69907179" w16cid:durableId="240EED91"/>
  <w16cid:commentId w16cid:paraId="298F4330" w16cid:durableId="240EF0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8BA0" w14:textId="77777777" w:rsidR="00745132" w:rsidRDefault="00745132" w:rsidP="008449C7">
      <w:r>
        <w:separator/>
      </w:r>
    </w:p>
  </w:endnote>
  <w:endnote w:type="continuationSeparator" w:id="0">
    <w:p w14:paraId="417052BB" w14:textId="77777777" w:rsidR="00745132" w:rsidRDefault="00745132" w:rsidP="0084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rlow">
    <w:panose1 w:val="00000800000000000000"/>
    <w:charset w:val="00"/>
    <w:family w:val="auto"/>
    <w:pitch w:val="variable"/>
    <w:sig w:usb0="20000007" w:usb1="00000000" w:usb2="00000000" w:usb3="00000000" w:csb0="0000019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4A9B" w14:textId="77777777" w:rsidR="00F6099B" w:rsidRDefault="00F6099B" w:rsidP="00774FEF">
    <w:pPr>
      <w:pStyle w:val="Footer"/>
      <w:jc w:val="center"/>
      <w:rPr>
        <w:sz w:val="18"/>
      </w:rPr>
    </w:pPr>
  </w:p>
  <w:p w14:paraId="2935E452" w14:textId="409978BF" w:rsidR="00F6099B" w:rsidRPr="00173922" w:rsidRDefault="00F6099B" w:rsidP="00173922">
    <w:pPr>
      <w:pStyle w:val="Footer"/>
      <w:jc w:val="right"/>
    </w:pPr>
    <w:r>
      <w:fldChar w:fldCharType="begin"/>
    </w:r>
    <w:r>
      <w:instrText xml:space="preserve"> PAGE   \* MERGEFORMAT </w:instrText>
    </w:r>
    <w:r>
      <w:fldChar w:fldCharType="separate"/>
    </w:r>
    <w:r w:rsidR="00C741DC">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AFBBE" w14:textId="77777777" w:rsidR="00745132" w:rsidRDefault="00745132" w:rsidP="008449C7">
      <w:r>
        <w:separator/>
      </w:r>
    </w:p>
  </w:footnote>
  <w:footnote w:type="continuationSeparator" w:id="0">
    <w:p w14:paraId="360D369A" w14:textId="77777777" w:rsidR="00745132" w:rsidRDefault="00745132" w:rsidP="008449C7">
      <w:r>
        <w:continuationSeparator/>
      </w:r>
    </w:p>
  </w:footnote>
  <w:footnote w:id="1">
    <w:p w14:paraId="74A9AC5A" w14:textId="77777777" w:rsidR="00F6099B" w:rsidRDefault="00F6099B" w:rsidP="003C24F8">
      <w:pPr>
        <w:pStyle w:val="FootnoteText"/>
      </w:pPr>
      <w:r>
        <w:rPr>
          <w:rStyle w:val="FootnoteReference"/>
        </w:rPr>
        <w:footnoteRef/>
      </w:r>
      <w:r>
        <w:t xml:space="preserve"> </w:t>
      </w:r>
      <w:r w:rsidRPr="00102D8A">
        <w:t>Indue Ltd (ABN 97 087 822 464) is an Authorised Deposit Taking Institution owned by credit unions and has been operating for over 40 years. Indue is</w:t>
      </w:r>
      <w:r w:rsidRPr="00E72E3D">
        <w:t> licensed and regulated through the Australian Prudential Regulation Authority (APRA).</w:t>
      </w:r>
      <w:r>
        <w:t xml:space="preserve"> </w:t>
      </w:r>
      <w:hyperlink r:id="rId1" w:history="1">
        <w:r w:rsidRPr="008374B7">
          <w:rPr>
            <w:rStyle w:val="Hyperlink"/>
          </w:rPr>
          <w:t>https://www2.indue.com.au/</w:t>
        </w:r>
      </w:hyperlink>
    </w:p>
  </w:footnote>
  <w:footnote w:id="2">
    <w:p w14:paraId="2C45FE72" w14:textId="77777777" w:rsidR="00F6099B" w:rsidRDefault="00F6099B" w:rsidP="003C24F8">
      <w:pPr>
        <w:pStyle w:val="FootnoteText"/>
      </w:pPr>
      <w:r>
        <w:rPr>
          <w:rStyle w:val="FootnoteReference"/>
        </w:rPr>
        <w:footnoteRef/>
      </w:r>
      <w:r>
        <w:t xml:space="preserve"> Parliament of Australia </w:t>
      </w:r>
      <w:r w:rsidRPr="0042053E">
        <w:t>BILLS DIGEST NO. 33, 2020–21</w:t>
      </w:r>
      <w:r>
        <w:t xml:space="preserve">. Accessible at </w:t>
      </w:r>
      <w:hyperlink r:id="rId2" w:history="1">
        <w:r w:rsidRPr="00BB22A0">
          <w:rPr>
            <w:rStyle w:val="Hyperlink"/>
          </w:rPr>
          <w:t>https://parlinfo.aph.gov.au/parlInfo/download/legislation/billsdgs/7669864/upload_binary/7669864.pdf</w:t>
        </w:r>
      </w:hyperlink>
      <w:r>
        <w:t xml:space="preserve"> </w:t>
      </w:r>
    </w:p>
  </w:footnote>
  <w:footnote w:id="3">
    <w:p w14:paraId="143F17BC" w14:textId="77777777" w:rsidR="00F6099B" w:rsidRDefault="00F6099B" w:rsidP="003C24F8">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340E" w14:textId="77777777" w:rsidR="00F6099B" w:rsidRDefault="00F6099B" w:rsidP="00546133">
    <w:pPr>
      <w:pStyle w:val="Header"/>
      <w:tabs>
        <w:tab w:val="left" w:pos="2257"/>
        <w:tab w:val="right" w:pos="7311"/>
      </w:tabs>
    </w:pPr>
    <w:r>
      <w:tab/>
    </w:r>
    <w:r>
      <w:tab/>
    </w:r>
    <w:r>
      <w:tab/>
    </w:r>
    <w:r w:rsidRPr="00AC2A8B">
      <w:rPr>
        <w:noProof/>
        <w:lang w:val="en-US" w:eastAsia="en-US"/>
      </w:rPr>
      <w:drawing>
        <wp:anchor distT="0" distB="0" distL="114300" distR="114300" simplePos="0" relativeHeight="251657215" behindDoc="1" locked="0" layoutInCell="1" allowOverlap="1" wp14:anchorId="1590B545" wp14:editId="6B86C552">
          <wp:simplePos x="0" y="0"/>
          <wp:positionH relativeFrom="column">
            <wp:posOffset>-726440</wp:posOffset>
          </wp:positionH>
          <wp:positionV relativeFrom="paragraph">
            <wp:posOffset>-456565</wp:posOffset>
          </wp:positionV>
          <wp:extent cx="7624800" cy="1274400"/>
          <wp:effectExtent l="0" t="0" r="0" b="2540"/>
          <wp:wrapThrough wrapText="bothSides">
            <wp:wrapPolygon edited="0">
              <wp:start x="0" y="0"/>
              <wp:lineTo x="0" y="21320"/>
              <wp:lineTo x="21533" y="21320"/>
              <wp:lineTo x="21533"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800" cy="1274400"/>
                  </a:xfrm>
                  <a:prstGeom prst="rect">
                    <a:avLst/>
                  </a:prstGeom>
                </pic:spPr>
              </pic:pic>
            </a:graphicData>
          </a:graphic>
          <wp14:sizeRelH relativeFrom="page">
            <wp14:pctWidth>0</wp14:pctWidth>
          </wp14:sizeRelH>
          <wp14:sizeRelV relativeFrom="page">
            <wp14:pctHeight>0</wp14:pctHeight>
          </wp14:sizeRelV>
        </wp:anchor>
      </w:drawing>
    </w:r>
    <w:r w:rsidRPr="004D2A54">
      <w:rPr>
        <w:noProof/>
        <w:lang w:val="en-US" w:eastAsia="en-US"/>
      </w:rPr>
      <w:drawing>
        <wp:anchor distT="0" distB="0" distL="114300" distR="114300" simplePos="0" relativeHeight="251658240" behindDoc="0" locked="0" layoutInCell="1" allowOverlap="1" wp14:anchorId="2C4CCFE7" wp14:editId="19D0A72A">
          <wp:simplePos x="0" y="0"/>
          <wp:positionH relativeFrom="column">
            <wp:posOffset>4756785</wp:posOffset>
          </wp:positionH>
          <wp:positionV relativeFrom="page">
            <wp:posOffset>266700</wp:posOffset>
          </wp:positionV>
          <wp:extent cx="1626870" cy="813435"/>
          <wp:effectExtent l="0" t="0" r="0" b="0"/>
          <wp:wrapSquare wrapText="bothSides"/>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6870" cy="813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06B"/>
    <w:multiLevelType w:val="hybridMultilevel"/>
    <w:tmpl w:val="95BCC07E"/>
    <w:lvl w:ilvl="0" w:tplc="9D52FCA2">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7E0F72"/>
    <w:multiLevelType w:val="hybridMultilevel"/>
    <w:tmpl w:val="A3849878"/>
    <w:lvl w:ilvl="0" w:tplc="16DEA29E">
      <w:start w:val="31"/>
      <w:numFmt w:val="bullet"/>
      <w:lvlText w:val="-"/>
      <w:lvlJc w:val="left"/>
      <w:pPr>
        <w:ind w:left="720" w:hanging="360"/>
      </w:pPr>
      <w:rPr>
        <w:rFonts w:ascii="Barlow" w:eastAsiaTheme="majorEastAsia" w:hAnsi="Barlow" w:cstheme="majorBidi" w:hint="default"/>
      </w:rPr>
    </w:lvl>
    <w:lvl w:ilvl="1" w:tplc="16DEA29E">
      <w:start w:val="31"/>
      <w:numFmt w:val="bullet"/>
      <w:lvlText w:val="-"/>
      <w:lvlJc w:val="left"/>
      <w:pPr>
        <w:ind w:left="1440" w:hanging="360"/>
      </w:pPr>
      <w:rPr>
        <w:rFonts w:ascii="Barlow" w:eastAsiaTheme="majorEastAsia" w:hAnsi="Barlow" w:cstheme="majorBidi" w:hint="default"/>
      </w:rPr>
    </w:lvl>
    <w:lvl w:ilvl="2" w:tplc="0C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9669C"/>
    <w:multiLevelType w:val="hybridMultilevel"/>
    <w:tmpl w:val="5F0485E0"/>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4679A0"/>
    <w:multiLevelType w:val="hybridMultilevel"/>
    <w:tmpl w:val="7E52878A"/>
    <w:lvl w:ilvl="0" w:tplc="0C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E40BE7"/>
    <w:multiLevelType w:val="hybridMultilevel"/>
    <w:tmpl w:val="7CD8D042"/>
    <w:lvl w:ilvl="0" w:tplc="16DEA29E">
      <w:start w:val="31"/>
      <w:numFmt w:val="bullet"/>
      <w:lvlText w:val="-"/>
      <w:lvlJc w:val="left"/>
      <w:pPr>
        <w:ind w:left="720" w:hanging="360"/>
      </w:pPr>
      <w:rPr>
        <w:rFonts w:ascii="Barlow" w:eastAsiaTheme="majorEastAsia" w:hAnsi="Barlow" w:cstheme="majorBidi"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F2DE8"/>
    <w:multiLevelType w:val="hybridMultilevel"/>
    <w:tmpl w:val="59185DC4"/>
    <w:lvl w:ilvl="0" w:tplc="0C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E824CE"/>
    <w:multiLevelType w:val="hybridMultilevel"/>
    <w:tmpl w:val="639A829E"/>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80834"/>
    <w:multiLevelType w:val="hybridMultilevel"/>
    <w:tmpl w:val="AEC8B722"/>
    <w:lvl w:ilvl="0" w:tplc="25A6AF3C">
      <w:start w:val="1"/>
      <w:numFmt w:val="bullet"/>
      <w:pStyle w:val="Heading5"/>
      <w:lvlText w:val=""/>
      <w:lvlJc w:val="left"/>
      <w:pPr>
        <w:ind w:left="360" w:hanging="360"/>
      </w:pPr>
      <w:rPr>
        <w:rFonts w:ascii="Wingdings" w:hAnsi="Wingdings" w:hint="default"/>
      </w:rPr>
    </w:lvl>
    <w:lvl w:ilvl="1" w:tplc="16DEA29E">
      <w:start w:val="31"/>
      <w:numFmt w:val="bullet"/>
      <w:lvlText w:val="-"/>
      <w:lvlJc w:val="left"/>
      <w:pPr>
        <w:ind w:left="1080" w:hanging="360"/>
      </w:pPr>
      <w:rPr>
        <w:rFonts w:ascii="Barlow" w:eastAsiaTheme="majorEastAsia" w:hAnsi="Barlow" w:cstheme="majorBidi" w:hint="default"/>
      </w:rPr>
    </w:lvl>
    <w:lvl w:ilvl="2" w:tplc="0C090001">
      <w:start w:val="1"/>
      <w:numFmt w:val="bullet"/>
      <w:lvlText w:val=""/>
      <w:lvlJc w:val="left"/>
      <w:pPr>
        <w:ind w:left="1800" w:hanging="360"/>
      </w:pPr>
      <w:rPr>
        <w:rFonts w:ascii="Symbol" w:hAnsi="Symbol" w:hint="default"/>
      </w:rPr>
    </w:lvl>
    <w:lvl w:ilvl="3" w:tplc="0C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AE440F"/>
    <w:multiLevelType w:val="hybridMultilevel"/>
    <w:tmpl w:val="663209E6"/>
    <w:lvl w:ilvl="0" w:tplc="0C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B508B2"/>
    <w:multiLevelType w:val="hybridMultilevel"/>
    <w:tmpl w:val="6A3256AC"/>
    <w:lvl w:ilvl="0" w:tplc="0C090005">
      <w:start w:val="1"/>
      <w:numFmt w:val="bullet"/>
      <w:lvlText w:val=""/>
      <w:lvlJc w:val="left"/>
      <w:pPr>
        <w:ind w:left="360" w:hanging="360"/>
      </w:pPr>
      <w:rPr>
        <w:rFonts w:ascii="Wingdings" w:hAnsi="Wingdings" w:hint="default"/>
      </w:rPr>
    </w:lvl>
    <w:lvl w:ilvl="1" w:tplc="16DEA29E">
      <w:start w:val="31"/>
      <w:numFmt w:val="bullet"/>
      <w:lvlText w:val="-"/>
      <w:lvlJc w:val="left"/>
      <w:pPr>
        <w:ind w:left="1080" w:hanging="360"/>
      </w:pPr>
      <w:rPr>
        <w:rFonts w:ascii="Barlow" w:eastAsiaTheme="majorEastAsia" w:hAnsi="Barlow" w:cstheme="majorBidi" w:hint="default"/>
      </w:rPr>
    </w:lvl>
    <w:lvl w:ilvl="2" w:tplc="0C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6"/>
  </w:num>
  <w:num w:numId="6">
    <w:abstractNumId w:val="3"/>
  </w:num>
  <w:num w:numId="7">
    <w:abstractNumId w:val="2"/>
  </w:num>
  <w:num w:numId="8">
    <w:abstractNumId w:val="9"/>
  </w:num>
  <w:num w:numId="9">
    <w:abstractNumId w:val="8"/>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F8"/>
    <w:rsid w:val="00043D79"/>
    <w:rsid w:val="0005296B"/>
    <w:rsid w:val="0007479B"/>
    <w:rsid w:val="000A5D85"/>
    <w:rsid w:val="000F4871"/>
    <w:rsid w:val="00131640"/>
    <w:rsid w:val="00141936"/>
    <w:rsid w:val="00173922"/>
    <w:rsid w:val="001D262D"/>
    <w:rsid w:val="00215A24"/>
    <w:rsid w:val="00281440"/>
    <w:rsid w:val="00286E77"/>
    <w:rsid w:val="002D5B9E"/>
    <w:rsid w:val="003179E3"/>
    <w:rsid w:val="003576F9"/>
    <w:rsid w:val="003C24F8"/>
    <w:rsid w:val="003E1F4B"/>
    <w:rsid w:val="003E50A4"/>
    <w:rsid w:val="00401DDD"/>
    <w:rsid w:val="00501CC3"/>
    <w:rsid w:val="00531C7F"/>
    <w:rsid w:val="00542F88"/>
    <w:rsid w:val="00546133"/>
    <w:rsid w:val="00552F16"/>
    <w:rsid w:val="00572EF0"/>
    <w:rsid w:val="005818A3"/>
    <w:rsid w:val="00643073"/>
    <w:rsid w:val="006746DF"/>
    <w:rsid w:val="006A155D"/>
    <w:rsid w:val="006B52F1"/>
    <w:rsid w:val="006D0F1B"/>
    <w:rsid w:val="006E6B25"/>
    <w:rsid w:val="007402B3"/>
    <w:rsid w:val="00745132"/>
    <w:rsid w:val="00756CA0"/>
    <w:rsid w:val="007624FB"/>
    <w:rsid w:val="00774FEF"/>
    <w:rsid w:val="00775E90"/>
    <w:rsid w:val="007C4007"/>
    <w:rsid w:val="007D38CD"/>
    <w:rsid w:val="00821BC1"/>
    <w:rsid w:val="008449C7"/>
    <w:rsid w:val="00861D22"/>
    <w:rsid w:val="00947D94"/>
    <w:rsid w:val="00954D78"/>
    <w:rsid w:val="00982A06"/>
    <w:rsid w:val="009C5DA0"/>
    <w:rsid w:val="009D3400"/>
    <w:rsid w:val="009E1104"/>
    <w:rsid w:val="009E7303"/>
    <w:rsid w:val="00A232CF"/>
    <w:rsid w:val="00A77F89"/>
    <w:rsid w:val="00B02DED"/>
    <w:rsid w:val="00B166CC"/>
    <w:rsid w:val="00B52983"/>
    <w:rsid w:val="00B663E6"/>
    <w:rsid w:val="00BB7B28"/>
    <w:rsid w:val="00BE76EB"/>
    <w:rsid w:val="00C02490"/>
    <w:rsid w:val="00C741DC"/>
    <w:rsid w:val="00D17AD6"/>
    <w:rsid w:val="00D974C4"/>
    <w:rsid w:val="00DA498F"/>
    <w:rsid w:val="00DC2ECF"/>
    <w:rsid w:val="00DD4053"/>
    <w:rsid w:val="00E51225"/>
    <w:rsid w:val="00E61E32"/>
    <w:rsid w:val="00EE3441"/>
    <w:rsid w:val="00F10D8C"/>
    <w:rsid w:val="00F6099B"/>
    <w:rsid w:val="00F77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39DFA"/>
  <w15:chartTrackingRefBased/>
  <w15:docId w15:val="{DEDF1C32-3E6C-4A76-8268-52536B45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C7"/>
    <w:pPr>
      <w:spacing w:after="0" w:line="276" w:lineRule="auto"/>
    </w:pPr>
    <w:rPr>
      <w:rFonts w:ascii="Barlow" w:eastAsia="MS Mincho" w:hAnsi="Barlow" w:cstheme="minorHAnsi"/>
      <w:bCs/>
      <w:lang w:eastAsia="en-AU"/>
    </w:rPr>
  </w:style>
  <w:style w:type="paragraph" w:styleId="Heading1">
    <w:name w:val="heading 1"/>
    <w:aliases w:val="Subheading 1"/>
    <w:basedOn w:val="NormalWeb"/>
    <w:next w:val="Normal"/>
    <w:link w:val="Heading1Char"/>
    <w:uiPriority w:val="9"/>
    <w:qFormat/>
    <w:rsid w:val="00215A24"/>
    <w:pPr>
      <w:shd w:val="clear" w:color="auto" w:fill="FFFFFF"/>
      <w:spacing w:before="0" w:beforeAutospacing="0" w:after="0" w:afterAutospacing="0"/>
      <w:outlineLvl w:val="0"/>
    </w:pPr>
    <w:rPr>
      <w:rFonts w:ascii="Barlow" w:eastAsiaTheme="minorHAnsi" w:hAnsi="Barlow"/>
      <w:b/>
      <w:color w:val="1F3A21"/>
      <w:sz w:val="32"/>
      <w:szCs w:val="28"/>
      <w:lang w:eastAsia="en-US"/>
    </w:rPr>
  </w:style>
  <w:style w:type="paragraph" w:styleId="Heading2">
    <w:name w:val="heading 2"/>
    <w:aliases w:val="Numbered list"/>
    <w:basedOn w:val="ListParagraph"/>
    <w:next w:val="Normal"/>
    <w:link w:val="Heading2Char"/>
    <w:uiPriority w:val="9"/>
    <w:unhideWhenUsed/>
    <w:qFormat/>
    <w:rsid w:val="008449C7"/>
    <w:pPr>
      <w:numPr>
        <w:numId w:val="1"/>
      </w:numPr>
      <w:outlineLvl w:val="1"/>
    </w:pPr>
  </w:style>
  <w:style w:type="paragraph" w:styleId="Heading3">
    <w:name w:val="heading 3"/>
    <w:basedOn w:val="Normal"/>
    <w:next w:val="Normal"/>
    <w:link w:val="Heading3Char"/>
    <w:uiPriority w:val="9"/>
    <w:unhideWhenUsed/>
    <w:qFormat/>
    <w:rsid w:val="00215A24"/>
    <w:pPr>
      <w:outlineLvl w:val="2"/>
    </w:pPr>
    <w:rPr>
      <w:b/>
      <w:color w:val="324372"/>
      <w:sz w:val="28"/>
    </w:rPr>
  </w:style>
  <w:style w:type="paragraph" w:styleId="Heading4">
    <w:name w:val="heading 4"/>
    <w:basedOn w:val="Normal"/>
    <w:next w:val="Normal"/>
    <w:link w:val="Heading4Char"/>
    <w:uiPriority w:val="9"/>
    <w:unhideWhenUsed/>
    <w:qFormat/>
    <w:rsid w:val="005818A3"/>
    <w:pPr>
      <w:keepNext/>
      <w:keepLines/>
      <w:spacing w:before="40"/>
      <w:outlineLvl w:val="3"/>
    </w:pPr>
    <w:rPr>
      <w:rFonts w:eastAsiaTheme="majorEastAsia" w:cstheme="majorBidi"/>
      <w:b/>
      <w:i/>
      <w:iCs/>
      <w:color w:val="773C34"/>
      <w:sz w:val="24"/>
    </w:rPr>
  </w:style>
  <w:style w:type="paragraph" w:styleId="Heading5">
    <w:name w:val="heading 5"/>
    <w:basedOn w:val="ListParagraph"/>
    <w:next w:val="Normal"/>
    <w:link w:val="Heading5Char"/>
    <w:uiPriority w:val="9"/>
    <w:unhideWhenUsed/>
    <w:qFormat/>
    <w:rsid w:val="00531C7F"/>
    <w:pPr>
      <w:numPr>
        <w:numId w:val="2"/>
      </w:numPr>
      <w:spacing w:line="259" w:lineRule="auto"/>
      <w:ind w:left="357" w:hanging="357"/>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49C7"/>
    <w:rPr>
      <w:color w:val="0000FF"/>
      <w:u w:val="single"/>
    </w:rPr>
  </w:style>
  <w:style w:type="paragraph" w:styleId="ListParagraph">
    <w:name w:val="List Paragraph"/>
    <w:basedOn w:val="Normal"/>
    <w:uiPriority w:val="34"/>
    <w:qFormat/>
    <w:rsid w:val="008449C7"/>
    <w:pPr>
      <w:ind w:left="720"/>
      <w:contextualSpacing/>
    </w:pPr>
  </w:style>
  <w:style w:type="character" w:styleId="FootnoteReference">
    <w:name w:val="footnote reference"/>
    <w:uiPriority w:val="99"/>
    <w:qFormat/>
    <w:rsid w:val="008449C7"/>
    <w:rPr>
      <w:vertAlign w:val="superscript"/>
    </w:rPr>
  </w:style>
  <w:style w:type="paragraph" w:styleId="FootnoteText">
    <w:name w:val="footnote text"/>
    <w:basedOn w:val="Normal"/>
    <w:link w:val="FootnoteTextChar"/>
    <w:uiPriority w:val="99"/>
    <w:qFormat/>
    <w:rsid w:val="008449C7"/>
    <w:pPr>
      <w:tabs>
        <w:tab w:val="left" w:pos="360"/>
      </w:tabs>
      <w:ind w:left="357" w:hanging="357"/>
    </w:pPr>
    <w:rPr>
      <w:rFonts w:eastAsia="Times New Roman"/>
      <w:sz w:val="16"/>
    </w:rPr>
  </w:style>
  <w:style w:type="character" w:customStyle="1" w:styleId="FootnoteTextChar">
    <w:name w:val="Footnote Text Char"/>
    <w:basedOn w:val="DefaultParagraphFont"/>
    <w:link w:val="FootnoteText"/>
    <w:uiPriority w:val="99"/>
    <w:rsid w:val="008449C7"/>
    <w:rPr>
      <w:rFonts w:ascii="Arial" w:eastAsia="Times New Roman" w:hAnsi="Arial" w:cs="Times New Roman"/>
      <w:sz w:val="16"/>
      <w:szCs w:val="20"/>
      <w:lang w:eastAsia="en-AU"/>
    </w:rPr>
  </w:style>
  <w:style w:type="paragraph" w:styleId="NormalWeb">
    <w:name w:val="Normal (Web)"/>
    <w:basedOn w:val="Normal"/>
    <w:uiPriority w:val="99"/>
    <w:unhideWhenUsed/>
    <w:rsid w:val="008449C7"/>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449C7"/>
    <w:pPr>
      <w:tabs>
        <w:tab w:val="center" w:pos="4513"/>
        <w:tab w:val="right" w:pos="9026"/>
      </w:tabs>
    </w:pPr>
  </w:style>
  <w:style w:type="character" w:customStyle="1" w:styleId="HeaderChar">
    <w:name w:val="Header Char"/>
    <w:basedOn w:val="DefaultParagraphFont"/>
    <w:link w:val="Header"/>
    <w:uiPriority w:val="99"/>
    <w:rsid w:val="008449C7"/>
    <w:rPr>
      <w:rFonts w:ascii="Arial" w:eastAsia="MS Mincho" w:hAnsi="Arial" w:cs="Times New Roman"/>
      <w:sz w:val="20"/>
      <w:szCs w:val="20"/>
      <w:lang w:eastAsia="en-AU"/>
    </w:rPr>
  </w:style>
  <w:style w:type="paragraph" w:styleId="Footer">
    <w:name w:val="footer"/>
    <w:basedOn w:val="Normal"/>
    <w:link w:val="FooterChar"/>
    <w:uiPriority w:val="99"/>
    <w:unhideWhenUsed/>
    <w:rsid w:val="008449C7"/>
    <w:pPr>
      <w:tabs>
        <w:tab w:val="center" w:pos="4513"/>
        <w:tab w:val="right" w:pos="9026"/>
      </w:tabs>
    </w:pPr>
  </w:style>
  <w:style w:type="character" w:customStyle="1" w:styleId="FooterChar">
    <w:name w:val="Footer Char"/>
    <w:basedOn w:val="DefaultParagraphFont"/>
    <w:link w:val="Footer"/>
    <w:uiPriority w:val="99"/>
    <w:rsid w:val="008449C7"/>
    <w:rPr>
      <w:rFonts w:ascii="Arial" w:eastAsia="MS Mincho" w:hAnsi="Arial" w:cs="Times New Roman"/>
      <w:sz w:val="20"/>
      <w:szCs w:val="20"/>
      <w:lang w:eastAsia="en-AU"/>
    </w:rPr>
  </w:style>
  <w:style w:type="character" w:customStyle="1" w:styleId="Heading1Char">
    <w:name w:val="Heading 1 Char"/>
    <w:aliases w:val="Subheading 1 Char"/>
    <w:basedOn w:val="DefaultParagraphFont"/>
    <w:link w:val="Heading1"/>
    <w:uiPriority w:val="9"/>
    <w:rsid w:val="00215A24"/>
    <w:rPr>
      <w:rFonts w:ascii="Barlow" w:hAnsi="Barlow" w:cstheme="minorHAnsi"/>
      <w:b/>
      <w:bCs/>
      <w:color w:val="1F3A21"/>
      <w:sz w:val="32"/>
      <w:szCs w:val="28"/>
      <w:shd w:val="clear" w:color="auto" w:fill="FFFFFF"/>
    </w:rPr>
  </w:style>
  <w:style w:type="paragraph" w:styleId="Title">
    <w:name w:val="Title"/>
    <w:basedOn w:val="Heading1"/>
    <w:next w:val="Normal"/>
    <w:link w:val="TitleChar"/>
    <w:uiPriority w:val="10"/>
    <w:qFormat/>
    <w:rsid w:val="00215A24"/>
    <w:rPr>
      <w:i/>
    </w:rPr>
  </w:style>
  <w:style w:type="character" w:customStyle="1" w:styleId="TitleChar">
    <w:name w:val="Title Char"/>
    <w:basedOn w:val="DefaultParagraphFont"/>
    <w:link w:val="Title"/>
    <w:uiPriority w:val="10"/>
    <w:rsid w:val="00215A24"/>
    <w:rPr>
      <w:rFonts w:ascii="Barlow" w:hAnsi="Barlow" w:cstheme="minorHAnsi"/>
      <w:b/>
      <w:bCs/>
      <w:i/>
      <w:color w:val="1F3A21"/>
      <w:sz w:val="32"/>
      <w:szCs w:val="28"/>
      <w:shd w:val="clear" w:color="auto" w:fill="FFFFFF"/>
    </w:rPr>
  </w:style>
  <w:style w:type="character" w:customStyle="1" w:styleId="Heading2Char">
    <w:name w:val="Heading 2 Char"/>
    <w:aliases w:val="Numbered list Char"/>
    <w:basedOn w:val="DefaultParagraphFont"/>
    <w:link w:val="Heading2"/>
    <w:uiPriority w:val="9"/>
    <w:rsid w:val="008449C7"/>
    <w:rPr>
      <w:rFonts w:ascii="Barlow" w:eastAsia="MS Mincho" w:hAnsi="Barlow" w:cstheme="minorHAnsi"/>
      <w:bCs/>
      <w:lang w:eastAsia="en-AU"/>
    </w:rPr>
  </w:style>
  <w:style w:type="character" w:customStyle="1" w:styleId="Heading3Char">
    <w:name w:val="Heading 3 Char"/>
    <w:basedOn w:val="DefaultParagraphFont"/>
    <w:link w:val="Heading3"/>
    <w:uiPriority w:val="9"/>
    <w:rsid w:val="00215A24"/>
    <w:rPr>
      <w:rFonts w:ascii="Barlow" w:eastAsia="MS Mincho" w:hAnsi="Barlow" w:cstheme="minorHAnsi"/>
      <w:b/>
      <w:bCs/>
      <w:color w:val="324372"/>
      <w:sz w:val="28"/>
      <w:lang w:eastAsia="en-AU"/>
    </w:rPr>
  </w:style>
  <w:style w:type="paragraph" w:styleId="NoSpacing">
    <w:name w:val="No Spacing"/>
    <w:link w:val="NoSpacingChar"/>
    <w:uiPriority w:val="1"/>
    <w:qFormat/>
    <w:rsid w:val="003C24F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24F8"/>
    <w:rPr>
      <w:rFonts w:eastAsiaTheme="minorEastAsia"/>
      <w:lang w:val="en-US"/>
    </w:rPr>
  </w:style>
  <w:style w:type="character" w:styleId="CommentReference">
    <w:name w:val="annotation reference"/>
    <w:basedOn w:val="DefaultParagraphFont"/>
    <w:uiPriority w:val="99"/>
    <w:semiHidden/>
    <w:unhideWhenUsed/>
    <w:rsid w:val="003C24F8"/>
    <w:rPr>
      <w:sz w:val="16"/>
      <w:szCs w:val="16"/>
    </w:rPr>
  </w:style>
  <w:style w:type="paragraph" w:styleId="CommentText">
    <w:name w:val="annotation text"/>
    <w:basedOn w:val="Normal"/>
    <w:link w:val="CommentTextChar"/>
    <w:uiPriority w:val="99"/>
    <w:unhideWhenUsed/>
    <w:rsid w:val="003C24F8"/>
    <w:pPr>
      <w:spacing w:after="160" w:line="240" w:lineRule="auto"/>
    </w:pPr>
    <w:rPr>
      <w:rFonts w:asciiTheme="minorHAnsi" w:eastAsiaTheme="minorHAnsi" w:hAnsiTheme="minorHAnsi" w:cstheme="minorBidi"/>
      <w:bCs w:val="0"/>
      <w:sz w:val="20"/>
      <w:szCs w:val="20"/>
      <w:lang w:val="en-US" w:eastAsia="en-US"/>
    </w:rPr>
  </w:style>
  <w:style w:type="character" w:customStyle="1" w:styleId="CommentTextChar">
    <w:name w:val="Comment Text Char"/>
    <w:basedOn w:val="DefaultParagraphFont"/>
    <w:link w:val="CommentText"/>
    <w:uiPriority w:val="99"/>
    <w:rsid w:val="003C24F8"/>
    <w:rPr>
      <w:sz w:val="20"/>
      <w:szCs w:val="20"/>
      <w:lang w:val="en-US"/>
    </w:rPr>
  </w:style>
  <w:style w:type="paragraph" w:styleId="CommentSubject">
    <w:name w:val="annotation subject"/>
    <w:basedOn w:val="CommentText"/>
    <w:next w:val="CommentText"/>
    <w:link w:val="CommentSubjectChar"/>
    <w:uiPriority w:val="99"/>
    <w:semiHidden/>
    <w:unhideWhenUsed/>
    <w:rsid w:val="003C24F8"/>
    <w:rPr>
      <w:b/>
      <w:bCs/>
    </w:rPr>
  </w:style>
  <w:style w:type="character" w:customStyle="1" w:styleId="CommentSubjectChar">
    <w:name w:val="Comment Subject Char"/>
    <w:basedOn w:val="CommentTextChar"/>
    <w:link w:val="CommentSubject"/>
    <w:uiPriority w:val="99"/>
    <w:semiHidden/>
    <w:rsid w:val="003C24F8"/>
    <w:rPr>
      <w:b/>
      <w:bCs/>
      <w:sz w:val="20"/>
      <w:szCs w:val="20"/>
      <w:lang w:val="en-US"/>
    </w:rPr>
  </w:style>
  <w:style w:type="paragraph" w:styleId="BalloonText">
    <w:name w:val="Balloon Text"/>
    <w:basedOn w:val="Normal"/>
    <w:link w:val="BalloonTextChar"/>
    <w:uiPriority w:val="99"/>
    <w:semiHidden/>
    <w:unhideWhenUsed/>
    <w:rsid w:val="003C24F8"/>
    <w:pPr>
      <w:spacing w:line="240" w:lineRule="auto"/>
    </w:pPr>
    <w:rPr>
      <w:rFonts w:ascii="Segoe UI" w:eastAsiaTheme="minorHAnsi" w:hAnsi="Segoe UI" w:cs="Segoe UI"/>
      <w:bCs w:val="0"/>
      <w:sz w:val="18"/>
      <w:szCs w:val="18"/>
      <w:lang w:val="en-US" w:eastAsia="en-US"/>
    </w:rPr>
  </w:style>
  <w:style w:type="character" w:customStyle="1" w:styleId="BalloonTextChar">
    <w:name w:val="Balloon Text Char"/>
    <w:basedOn w:val="DefaultParagraphFont"/>
    <w:link w:val="BalloonText"/>
    <w:uiPriority w:val="99"/>
    <w:semiHidden/>
    <w:rsid w:val="003C24F8"/>
    <w:rPr>
      <w:rFonts w:ascii="Segoe UI" w:hAnsi="Segoe UI" w:cs="Segoe UI"/>
      <w:sz w:val="18"/>
      <w:szCs w:val="18"/>
      <w:lang w:val="en-US"/>
    </w:rPr>
  </w:style>
  <w:style w:type="character" w:customStyle="1" w:styleId="act-reference">
    <w:name w:val="act-reference"/>
    <w:basedOn w:val="DefaultParagraphFont"/>
    <w:rsid w:val="003C24F8"/>
  </w:style>
  <w:style w:type="paragraph" w:customStyle="1" w:styleId="ActHead5">
    <w:name w:val="ActHead 5"/>
    <w:aliases w:val="s"/>
    <w:basedOn w:val="Normal"/>
    <w:next w:val="subsection"/>
    <w:link w:val="ActHead5Char"/>
    <w:qFormat/>
    <w:rsid w:val="003C24F8"/>
    <w:pPr>
      <w:keepNext/>
      <w:keepLines/>
      <w:spacing w:before="280" w:line="240" w:lineRule="auto"/>
      <w:ind w:left="1134" w:hanging="1134"/>
      <w:outlineLvl w:val="4"/>
    </w:pPr>
    <w:rPr>
      <w:rFonts w:ascii="Times New Roman" w:eastAsia="Times New Roman" w:hAnsi="Times New Roman" w:cs="Times New Roman"/>
      <w:b/>
      <w:bCs w:val="0"/>
      <w:kern w:val="28"/>
      <w:sz w:val="24"/>
      <w:szCs w:val="20"/>
    </w:rPr>
  </w:style>
  <w:style w:type="character" w:customStyle="1" w:styleId="CharSectno">
    <w:name w:val="CharSectno"/>
    <w:basedOn w:val="DefaultParagraphFont"/>
    <w:qFormat/>
    <w:rsid w:val="003C24F8"/>
  </w:style>
  <w:style w:type="paragraph" w:customStyle="1" w:styleId="subsection">
    <w:name w:val="subsection"/>
    <w:aliases w:val="ss"/>
    <w:basedOn w:val="Normal"/>
    <w:link w:val="subsectionChar"/>
    <w:rsid w:val="003C24F8"/>
    <w:pPr>
      <w:tabs>
        <w:tab w:val="right" w:pos="1021"/>
      </w:tabs>
      <w:spacing w:before="180" w:line="240" w:lineRule="auto"/>
      <w:ind w:left="1134" w:hanging="1134"/>
    </w:pPr>
    <w:rPr>
      <w:rFonts w:ascii="Times New Roman" w:eastAsia="Times New Roman" w:hAnsi="Times New Roman" w:cs="Times New Roman"/>
      <w:bCs w:val="0"/>
      <w:szCs w:val="20"/>
    </w:rPr>
  </w:style>
  <w:style w:type="paragraph" w:customStyle="1" w:styleId="paragraphsub">
    <w:name w:val="paragraph(sub)"/>
    <w:aliases w:val="aa"/>
    <w:basedOn w:val="Normal"/>
    <w:rsid w:val="003C24F8"/>
    <w:pPr>
      <w:tabs>
        <w:tab w:val="right" w:pos="1985"/>
      </w:tabs>
      <w:spacing w:before="40" w:line="240" w:lineRule="auto"/>
      <w:ind w:left="2098" w:hanging="2098"/>
    </w:pPr>
    <w:rPr>
      <w:rFonts w:ascii="Times New Roman" w:eastAsia="Times New Roman" w:hAnsi="Times New Roman" w:cs="Times New Roman"/>
      <w:bCs w:val="0"/>
      <w:szCs w:val="20"/>
    </w:rPr>
  </w:style>
  <w:style w:type="paragraph" w:customStyle="1" w:styleId="paragraph">
    <w:name w:val="paragraph"/>
    <w:aliases w:val="a"/>
    <w:basedOn w:val="Normal"/>
    <w:link w:val="paragraphChar"/>
    <w:rsid w:val="003C24F8"/>
    <w:pPr>
      <w:tabs>
        <w:tab w:val="right" w:pos="1531"/>
      </w:tabs>
      <w:spacing w:before="40" w:line="240" w:lineRule="auto"/>
      <w:ind w:left="1644" w:hanging="1644"/>
    </w:pPr>
    <w:rPr>
      <w:rFonts w:ascii="Times New Roman" w:eastAsia="Times New Roman" w:hAnsi="Times New Roman" w:cs="Times New Roman"/>
      <w:bCs w:val="0"/>
      <w:szCs w:val="20"/>
    </w:rPr>
  </w:style>
  <w:style w:type="character" w:customStyle="1" w:styleId="subsectionChar">
    <w:name w:val="subsection Char"/>
    <w:aliases w:val="ss Char"/>
    <w:basedOn w:val="DefaultParagraphFont"/>
    <w:link w:val="subsection"/>
    <w:locked/>
    <w:rsid w:val="003C24F8"/>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3C24F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3C24F8"/>
    <w:rPr>
      <w:rFonts w:ascii="Times New Roman" w:eastAsia="Times New Roman" w:hAnsi="Times New Roman" w:cs="Times New Roman"/>
      <w:b/>
      <w:kern w:val="28"/>
      <w:sz w:val="24"/>
      <w:szCs w:val="20"/>
      <w:lang w:eastAsia="en-AU"/>
    </w:rPr>
  </w:style>
  <w:style w:type="character" w:styleId="FollowedHyperlink">
    <w:name w:val="FollowedHyperlink"/>
    <w:basedOn w:val="DefaultParagraphFont"/>
    <w:uiPriority w:val="99"/>
    <w:semiHidden/>
    <w:unhideWhenUsed/>
    <w:rsid w:val="003C24F8"/>
    <w:rPr>
      <w:color w:val="954F72" w:themeColor="followedHyperlink"/>
      <w:u w:val="single"/>
    </w:rPr>
  </w:style>
  <w:style w:type="paragraph" w:styleId="Revision">
    <w:name w:val="Revision"/>
    <w:hidden/>
    <w:uiPriority w:val="99"/>
    <w:semiHidden/>
    <w:rsid w:val="003C24F8"/>
    <w:pPr>
      <w:spacing w:after="0" w:line="240" w:lineRule="auto"/>
    </w:pPr>
    <w:rPr>
      <w:lang w:val="en-US"/>
    </w:rPr>
  </w:style>
  <w:style w:type="paragraph" w:customStyle="1" w:styleId="acthead50">
    <w:name w:val="acthead5"/>
    <w:basedOn w:val="Normal"/>
    <w:rsid w:val="003C24F8"/>
    <w:pPr>
      <w:spacing w:before="100" w:beforeAutospacing="1" w:after="100" w:afterAutospacing="1" w:line="240" w:lineRule="auto"/>
    </w:pPr>
    <w:rPr>
      <w:rFonts w:ascii="Times New Roman" w:eastAsia="Times New Roman" w:hAnsi="Times New Roman" w:cs="Times New Roman"/>
      <w:bCs w:val="0"/>
      <w:sz w:val="24"/>
      <w:szCs w:val="24"/>
      <w:lang w:val="en-US" w:eastAsia="en-US"/>
    </w:rPr>
  </w:style>
  <w:style w:type="character" w:customStyle="1" w:styleId="charsectno0">
    <w:name w:val="charsectno"/>
    <w:basedOn w:val="DefaultParagraphFont"/>
    <w:rsid w:val="003C24F8"/>
  </w:style>
  <w:style w:type="paragraph" w:styleId="TOCHeading">
    <w:name w:val="TOC Heading"/>
    <w:basedOn w:val="Heading1"/>
    <w:next w:val="Normal"/>
    <w:uiPriority w:val="39"/>
    <w:unhideWhenUsed/>
    <w:qFormat/>
    <w:rsid w:val="003C24F8"/>
    <w:pPr>
      <w:keepNext/>
      <w:keepLines/>
      <w:shd w:val="clear" w:color="auto" w:fill="auto"/>
      <w:spacing w:before="480"/>
      <w:outlineLvl w:val="9"/>
    </w:pPr>
    <w:rPr>
      <w:rFonts w:asciiTheme="majorHAnsi" w:eastAsiaTheme="majorEastAsia" w:hAnsiTheme="majorHAnsi" w:cstheme="majorBidi"/>
      <w:color w:val="2E74B5" w:themeColor="accent1" w:themeShade="BF"/>
      <w:lang w:val="en-US"/>
    </w:rPr>
  </w:style>
  <w:style w:type="paragraph" w:styleId="TOC1">
    <w:name w:val="toc 1"/>
    <w:basedOn w:val="Normal"/>
    <w:next w:val="Normal"/>
    <w:autoRedefine/>
    <w:uiPriority w:val="39"/>
    <w:unhideWhenUsed/>
    <w:rsid w:val="00531C7F"/>
    <w:pPr>
      <w:spacing w:before="120" w:line="259" w:lineRule="auto"/>
    </w:pPr>
    <w:rPr>
      <w:rFonts w:eastAsiaTheme="minorHAnsi" w:cstheme="minorBidi"/>
      <w:b/>
      <w:i/>
      <w:iCs/>
      <w:sz w:val="28"/>
      <w:szCs w:val="24"/>
      <w:lang w:val="en-US" w:eastAsia="en-US"/>
    </w:rPr>
  </w:style>
  <w:style w:type="paragraph" w:styleId="TOC2">
    <w:name w:val="toc 2"/>
    <w:basedOn w:val="Normal"/>
    <w:next w:val="Normal"/>
    <w:autoRedefine/>
    <w:uiPriority w:val="39"/>
    <w:semiHidden/>
    <w:unhideWhenUsed/>
    <w:rsid w:val="00531C7F"/>
    <w:pPr>
      <w:spacing w:before="120" w:line="259" w:lineRule="auto"/>
      <w:ind w:left="220"/>
    </w:pPr>
    <w:rPr>
      <w:rFonts w:eastAsiaTheme="minorHAnsi" w:cstheme="minorBidi"/>
      <w:b/>
      <w:sz w:val="24"/>
      <w:lang w:val="en-US" w:eastAsia="en-US"/>
    </w:rPr>
  </w:style>
  <w:style w:type="paragraph" w:styleId="TOC3">
    <w:name w:val="toc 3"/>
    <w:basedOn w:val="Normal"/>
    <w:next w:val="Normal"/>
    <w:autoRedefine/>
    <w:uiPriority w:val="39"/>
    <w:unhideWhenUsed/>
    <w:rsid w:val="00531C7F"/>
    <w:pPr>
      <w:spacing w:line="259" w:lineRule="auto"/>
      <w:ind w:left="440"/>
    </w:pPr>
    <w:rPr>
      <w:rFonts w:eastAsiaTheme="minorHAnsi" w:cstheme="minorBidi"/>
      <w:bCs w:val="0"/>
      <w:szCs w:val="20"/>
      <w:lang w:val="en-US" w:eastAsia="en-US"/>
    </w:rPr>
  </w:style>
  <w:style w:type="paragraph" w:styleId="TOC4">
    <w:name w:val="toc 4"/>
    <w:basedOn w:val="Normal"/>
    <w:next w:val="Normal"/>
    <w:autoRedefine/>
    <w:uiPriority w:val="39"/>
    <w:unhideWhenUsed/>
    <w:rsid w:val="00531C7F"/>
    <w:pPr>
      <w:spacing w:line="259" w:lineRule="auto"/>
      <w:ind w:left="660"/>
    </w:pPr>
    <w:rPr>
      <w:rFonts w:eastAsiaTheme="minorHAnsi" w:cstheme="minorBidi"/>
      <w:bCs w:val="0"/>
      <w:sz w:val="20"/>
      <w:szCs w:val="20"/>
      <w:lang w:val="en-US" w:eastAsia="en-US"/>
    </w:rPr>
  </w:style>
  <w:style w:type="paragraph" w:styleId="TOC5">
    <w:name w:val="toc 5"/>
    <w:basedOn w:val="Normal"/>
    <w:next w:val="Normal"/>
    <w:autoRedefine/>
    <w:uiPriority w:val="39"/>
    <w:unhideWhenUsed/>
    <w:rsid w:val="00D17AD6"/>
    <w:pPr>
      <w:spacing w:line="259" w:lineRule="auto"/>
      <w:ind w:left="880"/>
    </w:pPr>
    <w:rPr>
      <w:rFonts w:eastAsiaTheme="minorHAnsi" w:cstheme="minorBidi"/>
      <w:bCs w:val="0"/>
      <w:sz w:val="20"/>
      <w:szCs w:val="20"/>
      <w:lang w:val="en-US" w:eastAsia="en-US"/>
    </w:rPr>
  </w:style>
  <w:style w:type="paragraph" w:styleId="TOC6">
    <w:name w:val="toc 6"/>
    <w:basedOn w:val="Normal"/>
    <w:next w:val="Normal"/>
    <w:autoRedefine/>
    <w:uiPriority w:val="39"/>
    <w:semiHidden/>
    <w:unhideWhenUsed/>
    <w:rsid w:val="00D17AD6"/>
    <w:pPr>
      <w:spacing w:line="259" w:lineRule="auto"/>
      <w:ind w:left="1100"/>
    </w:pPr>
    <w:rPr>
      <w:rFonts w:eastAsiaTheme="minorHAnsi" w:cstheme="minorBidi"/>
      <w:bCs w:val="0"/>
      <w:sz w:val="20"/>
      <w:szCs w:val="20"/>
      <w:lang w:val="en-US" w:eastAsia="en-US"/>
    </w:rPr>
  </w:style>
  <w:style w:type="paragraph" w:styleId="TOC7">
    <w:name w:val="toc 7"/>
    <w:basedOn w:val="Normal"/>
    <w:next w:val="Normal"/>
    <w:autoRedefine/>
    <w:uiPriority w:val="39"/>
    <w:semiHidden/>
    <w:unhideWhenUsed/>
    <w:rsid w:val="00D17AD6"/>
    <w:pPr>
      <w:spacing w:line="259" w:lineRule="auto"/>
      <w:ind w:left="1320"/>
    </w:pPr>
    <w:rPr>
      <w:rFonts w:eastAsiaTheme="minorHAnsi" w:cstheme="minorBidi"/>
      <w:bCs w:val="0"/>
      <w:sz w:val="20"/>
      <w:szCs w:val="20"/>
      <w:lang w:val="en-US" w:eastAsia="en-US"/>
    </w:rPr>
  </w:style>
  <w:style w:type="paragraph" w:styleId="TOC8">
    <w:name w:val="toc 8"/>
    <w:basedOn w:val="Normal"/>
    <w:next w:val="Normal"/>
    <w:autoRedefine/>
    <w:uiPriority w:val="39"/>
    <w:semiHidden/>
    <w:unhideWhenUsed/>
    <w:rsid w:val="00D17AD6"/>
    <w:pPr>
      <w:spacing w:line="259" w:lineRule="auto"/>
      <w:ind w:left="1540"/>
    </w:pPr>
    <w:rPr>
      <w:rFonts w:eastAsiaTheme="minorHAnsi" w:cstheme="minorBidi"/>
      <w:bCs w:val="0"/>
      <w:sz w:val="20"/>
      <w:szCs w:val="20"/>
      <w:lang w:val="en-US" w:eastAsia="en-US"/>
    </w:rPr>
  </w:style>
  <w:style w:type="paragraph" w:styleId="TOC9">
    <w:name w:val="toc 9"/>
    <w:basedOn w:val="Normal"/>
    <w:next w:val="Normal"/>
    <w:autoRedefine/>
    <w:uiPriority w:val="39"/>
    <w:semiHidden/>
    <w:unhideWhenUsed/>
    <w:rsid w:val="003C24F8"/>
    <w:pPr>
      <w:spacing w:line="259" w:lineRule="auto"/>
      <w:ind w:left="1760"/>
    </w:pPr>
    <w:rPr>
      <w:rFonts w:asciiTheme="minorHAnsi" w:eastAsiaTheme="minorHAnsi" w:hAnsiTheme="minorHAnsi" w:cstheme="minorBidi"/>
      <w:bCs w:val="0"/>
      <w:sz w:val="20"/>
      <w:szCs w:val="20"/>
      <w:lang w:val="en-US" w:eastAsia="en-US"/>
    </w:rPr>
  </w:style>
  <w:style w:type="character" w:styleId="PageNumber">
    <w:name w:val="page number"/>
    <w:basedOn w:val="DefaultParagraphFont"/>
    <w:uiPriority w:val="99"/>
    <w:semiHidden/>
    <w:unhideWhenUsed/>
    <w:rsid w:val="003C24F8"/>
  </w:style>
  <w:style w:type="character" w:customStyle="1" w:styleId="UnresolvedMention1">
    <w:name w:val="Unresolved Mention1"/>
    <w:basedOn w:val="DefaultParagraphFont"/>
    <w:uiPriority w:val="99"/>
    <w:semiHidden/>
    <w:unhideWhenUsed/>
    <w:rsid w:val="003C24F8"/>
    <w:rPr>
      <w:color w:val="605E5C"/>
      <w:shd w:val="clear" w:color="auto" w:fill="E1DFDD"/>
    </w:rPr>
  </w:style>
  <w:style w:type="character" w:customStyle="1" w:styleId="Heading4Char">
    <w:name w:val="Heading 4 Char"/>
    <w:basedOn w:val="DefaultParagraphFont"/>
    <w:link w:val="Heading4"/>
    <w:uiPriority w:val="9"/>
    <w:rsid w:val="005818A3"/>
    <w:rPr>
      <w:rFonts w:ascii="Barlow" w:eastAsiaTheme="majorEastAsia" w:hAnsi="Barlow" w:cstheme="majorBidi"/>
      <w:b/>
      <w:bCs/>
      <w:i/>
      <w:iCs/>
      <w:color w:val="773C34"/>
      <w:sz w:val="24"/>
      <w:lang w:eastAsia="en-AU"/>
    </w:rPr>
  </w:style>
  <w:style w:type="character" w:customStyle="1" w:styleId="Heading5Char">
    <w:name w:val="Heading 5 Char"/>
    <w:basedOn w:val="DefaultParagraphFont"/>
    <w:link w:val="Heading5"/>
    <w:uiPriority w:val="9"/>
    <w:rsid w:val="00531C7F"/>
    <w:rPr>
      <w:rFonts w:ascii="Barlow" w:eastAsia="MS Mincho" w:hAnsi="Barlow" w:cstheme="minorHAnsi"/>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families-and-children/programmes-services/welfare-conditionality/cashless-debit-card-overview"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saustralia.gov.au/individuals/news/from-17-march-2021-cashless-debit-card-expa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0A0013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arlinfo.aph.gov.au/parlInfo/download/legislation/billsdgs/7669864/upload_binary/7669864.pdf" TargetMode="External"/><Relationship Id="rId1" Type="http://schemas.openxmlformats.org/officeDocument/2006/relationships/hyperlink" Target="https://www2.indu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Mai\Dropbox\EJA\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4798-5162-49AC-8BAB-3B011517BF7B}">
  <ds:schemaRefs>
    <ds:schemaRef ds:uri="http://schemas.microsoft.com/sharepoint/v3/contenttype/forms"/>
  </ds:schemaRefs>
</ds:datastoreItem>
</file>

<file path=customXml/itemProps2.xml><?xml version="1.0" encoding="utf-8"?>
<ds:datastoreItem xmlns:ds="http://schemas.openxmlformats.org/officeDocument/2006/customXml" ds:itemID="{9F599D4D-F127-4BBF-B5A8-580DADF4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FE80C-0C92-46BD-9C19-F6B207520A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E56339-D0A6-41F0-A1E5-E9B0E649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TotalTime>
  <Pages>15</Pages>
  <Words>5816</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Cashless Debit Card (CDC) extended rollout 2021Briefing Paper</vt:lpstr>
    </vt:vector>
  </TitlesOfParts>
  <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Cashless Debit Card (CDC) extended rollout 2021Briefing Paper</dc:title>
  <dc:subject/>
  <dc:creator>LuciaMai</dc:creator>
  <cp:keywords/>
  <dc:description/>
  <cp:lastModifiedBy>Linda Forbes</cp:lastModifiedBy>
  <cp:revision>5</cp:revision>
  <cp:lastPrinted>2021-04-12T23:03:00Z</cp:lastPrinted>
  <dcterms:created xsi:type="dcterms:W3CDTF">2021-04-12T22:59:00Z</dcterms:created>
  <dcterms:modified xsi:type="dcterms:W3CDTF">2021-04-12T23:04:00Z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0x01010015701EE36447A54C938588281439AABB</vt:lpwstr>
  </property>
</Properties>
</file>