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45956" w14:textId="42B5DA6F" w:rsidR="00E242FC" w:rsidRPr="00E242FC" w:rsidRDefault="004D3474" w:rsidP="00E242FC">
      <w:pPr>
        <w:shd w:val="clear" w:color="auto" w:fill="FFFFFF"/>
        <w:spacing w:before="120" w:after="120"/>
        <w:outlineLvl w:val="0"/>
        <w:rPr>
          <w:rFonts w:eastAsia="Times New Roman" w:cs="Arial"/>
          <w:kern w:val="36"/>
        </w:rPr>
      </w:pPr>
      <w:r>
        <w:rPr>
          <w:rFonts w:eastAsia="Times New Roman" w:cs="Arial"/>
          <w:kern w:val="36"/>
        </w:rPr>
        <w:t>30</w:t>
      </w:r>
      <w:r w:rsidR="00F47C46">
        <w:rPr>
          <w:rFonts w:eastAsia="Times New Roman" w:cs="Arial"/>
          <w:kern w:val="36"/>
        </w:rPr>
        <w:t xml:space="preserve"> March 2021</w:t>
      </w:r>
    </w:p>
    <w:p w14:paraId="0F33E9A0" w14:textId="77777777" w:rsidR="00E242FC" w:rsidRPr="00E242FC" w:rsidRDefault="00E242FC" w:rsidP="00E242FC">
      <w:pPr>
        <w:rPr>
          <w:rFonts w:cs="Arial"/>
          <w:bCs w:val="0"/>
        </w:rPr>
      </w:pPr>
    </w:p>
    <w:p w14:paraId="5EA39A43" w14:textId="58781351" w:rsidR="00F47C46" w:rsidRDefault="0036050E" w:rsidP="00E242FC">
      <w:pPr>
        <w:rPr>
          <w:rFonts w:cs="Arial"/>
          <w:bCs w:val="0"/>
        </w:rPr>
      </w:pPr>
      <w:r>
        <w:rPr>
          <w:rFonts w:cs="Arial"/>
          <w:bCs w:val="0"/>
        </w:rPr>
        <w:t>Voice Secretariat</w:t>
      </w:r>
    </w:p>
    <w:p w14:paraId="1189DD73" w14:textId="5E286AF4" w:rsidR="00A71CC0" w:rsidRDefault="00A71CC0" w:rsidP="00E242FC">
      <w:pPr>
        <w:rPr>
          <w:rFonts w:cs="Arial"/>
          <w:bCs w:val="0"/>
        </w:rPr>
      </w:pPr>
      <w:r w:rsidRPr="00A71CC0">
        <w:rPr>
          <w:rFonts w:cs="Arial"/>
          <w:bCs w:val="0"/>
        </w:rPr>
        <w:t>National Indigenous Australians Agency</w:t>
      </w:r>
    </w:p>
    <w:p w14:paraId="79755519" w14:textId="77777777" w:rsidR="00E242FC" w:rsidRPr="00E242FC" w:rsidRDefault="00E242FC" w:rsidP="00E242FC">
      <w:pPr>
        <w:rPr>
          <w:rFonts w:cs="Arial"/>
          <w:bCs w:val="0"/>
        </w:rPr>
      </w:pPr>
    </w:p>
    <w:p w14:paraId="254EAAED" w14:textId="27C7BCB6" w:rsidR="00E242FC" w:rsidRPr="0036050E" w:rsidRDefault="00E242FC" w:rsidP="0036050E">
      <w:pPr>
        <w:rPr>
          <w:rFonts w:cs="Arial"/>
          <w:bCs w:val="0"/>
        </w:rPr>
      </w:pPr>
      <w:r w:rsidRPr="00E242FC">
        <w:rPr>
          <w:rFonts w:cs="Arial"/>
          <w:bCs w:val="0"/>
        </w:rPr>
        <w:t xml:space="preserve">By email only: </w:t>
      </w:r>
      <w:hyperlink r:id="rId11" w:history="1">
        <w:r w:rsidR="0036050E" w:rsidRPr="00BB22A0">
          <w:rPr>
            <w:rStyle w:val="Hyperlink"/>
            <w:rFonts w:cs="Arial"/>
            <w:bCs w:val="0"/>
          </w:rPr>
          <w:t>Co-designVoice@niaa.gov.au</w:t>
        </w:r>
      </w:hyperlink>
      <w:r w:rsidR="0036050E">
        <w:rPr>
          <w:rFonts w:cs="Arial"/>
          <w:bCs w:val="0"/>
        </w:rPr>
        <w:t xml:space="preserve"> </w:t>
      </w:r>
      <w:bookmarkStart w:id="0" w:name="_GoBack"/>
      <w:bookmarkEnd w:id="0"/>
    </w:p>
    <w:p w14:paraId="5B6EE789" w14:textId="77777777" w:rsidR="00E242FC" w:rsidRPr="00E242FC" w:rsidRDefault="00E242FC" w:rsidP="00E242FC">
      <w:pPr>
        <w:rPr>
          <w:rFonts w:cs="Arial"/>
          <w:bCs w:val="0"/>
        </w:rPr>
      </w:pPr>
    </w:p>
    <w:p w14:paraId="4ED3E8AB" w14:textId="65262A03" w:rsidR="00E242FC" w:rsidRPr="00E242FC" w:rsidRDefault="00E242FC" w:rsidP="00E242FC">
      <w:pPr>
        <w:rPr>
          <w:rFonts w:cs="Arial"/>
          <w:bCs w:val="0"/>
        </w:rPr>
      </w:pPr>
      <w:r w:rsidRPr="00E242FC">
        <w:rPr>
          <w:rFonts w:cs="Arial"/>
          <w:b/>
          <w:bCs w:val="0"/>
          <w:i/>
        </w:rPr>
        <w:t>Ec</w:t>
      </w:r>
      <w:r w:rsidR="005E418C">
        <w:rPr>
          <w:rFonts w:cs="Arial"/>
          <w:b/>
          <w:bCs w:val="0"/>
          <w:i/>
        </w:rPr>
        <w:t>onomic Justice Australia (EJA) s</w:t>
      </w:r>
      <w:r w:rsidRPr="00E242FC">
        <w:rPr>
          <w:rFonts w:cs="Arial"/>
          <w:b/>
          <w:bCs w:val="0"/>
          <w:i/>
        </w:rPr>
        <w:t xml:space="preserve">ubmission </w:t>
      </w:r>
      <w:r w:rsidR="005E418C">
        <w:rPr>
          <w:rFonts w:cs="Arial"/>
          <w:b/>
          <w:bCs w:val="0"/>
          <w:i/>
        </w:rPr>
        <w:t>in response to the Indigenous Voice Discussion Paper</w:t>
      </w:r>
    </w:p>
    <w:p w14:paraId="3291D84A" w14:textId="77777777" w:rsidR="00E242FC" w:rsidRPr="00E242FC" w:rsidRDefault="00E242FC" w:rsidP="00E242FC">
      <w:pPr>
        <w:spacing w:line="240" w:lineRule="auto"/>
        <w:rPr>
          <w:rFonts w:ascii="Calibri" w:eastAsia="Times New Roman" w:hAnsi="Calibri" w:cs="Calibri"/>
          <w:bCs w:val="0"/>
          <w:lang w:val="en-US"/>
        </w:rPr>
      </w:pPr>
      <w:r w:rsidRPr="00E242FC">
        <w:rPr>
          <w:rFonts w:ascii="Calibri" w:eastAsia="Times New Roman" w:hAnsi="Calibri" w:cs="Calibri"/>
          <w:bCs w:val="0"/>
          <w:lang w:val="en-US"/>
        </w:rPr>
        <w:t> </w:t>
      </w:r>
    </w:p>
    <w:p w14:paraId="20236581" w14:textId="77777777" w:rsidR="00E242FC" w:rsidRPr="00E242FC" w:rsidRDefault="00E242FC" w:rsidP="00E242FC">
      <w:pPr>
        <w:numPr>
          <w:ilvl w:val="0"/>
          <w:numId w:val="11"/>
        </w:numPr>
        <w:spacing w:after="240" w:line="240" w:lineRule="auto"/>
        <w:contextualSpacing/>
        <w:rPr>
          <w:rFonts w:eastAsia="Times New Roman" w:cs="Calibri"/>
          <w:bCs w:val="0"/>
        </w:rPr>
      </w:pPr>
      <w:r w:rsidRPr="00E242FC">
        <w:rPr>
          <w:rFonts w:eastAsia="Times New Roman" w:cs="Calibri"/>
          <w:bCs w:val="0"/>
        </w:rPr>
        <w:t>Economic Justice Australia (EJA) is the peak organisation for community legal centres providing specialist advice regarding social security issues and rights. Our members across Australia have provided free and independent information, advice, education and representation in the area of social security for over 30 years.</w:t>
      </w:r>
    </w:p>
    <w:p w14:paraId="08F9B872" w14:textId="77777777" w:rsidR="00E242FC" w:rsidRPr="00E242FC" w:rsidRDefault="00E242FC" w:rsidP="00E242FC">
      <w:pPr>
        <w:spacing w:line="240" w:lineRule="auto"/>
        <w:ind w:firstLine="50"/>
        <w:rPr>
          <w:rFonts w:eastAsia="Times New Roman" w:cs="Calibri"/>
          <w:bCs w:val="0"/>
          <w:lang w:val="en-US"/>
        </w:rPr>
      </w:pPr>
    </w:p>
    <w:p w14:paraId="6F2591D4" w14:textId="77777777" w:rsidR="00E242FC" w:rsidRPr="00E242FC" w:rsidRDefault="00E242FC" w:rsidP="00E242FC">
      <w:pPr>
        <w:numPr>
          <w:ilvl w:val="0"/>
          <w:numId w:val="11"/>
        </w:numPr>
        <w:spacing w:after="240" w:line="240" w:lineRule="auto"/>
        <w:contextualSpacing/>
        <w:rPr>
          <w:rFonts w:eastAsia="Times New Roman" w:cs="Calibri"/>
          <w:bCs w:val="0"/>
        </w:rPr>
      </w:pPr>
      <w:r w:rsidRPr="00E242FC">
        <w:rPr>
          <w:rFonts w:eastAsia="Times New Roman" w:cs="Calibri"/>
          <w:bCs w:val="0"/>
        </w:rPr>
        <w:t>EJA draws on its members’ casework experience to identify systemic policy issues and provide expert advice to government on reforms needed to make the social security system more effective and accessible. Our law and policy reform work:</w:t>
      </w:r>
    </w:p>
    <w:p w14:paraId="0F58567F" w14:textId="77777777" w:rsidR="00E242FC" w:rsidRPr="00E242FC" w:rsidRDefault="00E242FC" w:rsidP="00E242FC">
      <w:pPr>
        <w:numPr>
          <w:ilvl w:val="0"/>
          <w:numId w:val="12"/>
        </w:numPr>
        <w:spacing w:after="240" w:line="240" w:lineRule="auto"/>
        <w:contextualSpacing/>
        <w:textAlignment w:val="center"/>
        <w:rPr>
          <w:rFonts w:eastAsia="Times New Roman" w:cs="Calibri"/>
          <w:bCs w:val="0"/>
        </w:rPr>
      </w:pPr>
      <w:r w:rsidRPr="00E242FC">
        <w:rPr>
          <w:rFonts w:eastAsia="Times New Roman" w:cs="Calibri"/>
          <w:bCs w:val="0"/>
        </w:rPr>
        <w:t>Strengthens the effectiveness and integrity of our social security system;</w:t>
      </w:r>
    </w:p>
    <w:p w14:paraId="4AFB0FF1" w14:textId="77777777" w:rsidR="00E242FC" w:rsidRPr="00E242FC" w:rsidRDefault="00E242FC" w:rsidP="00E242FC">
      <w:pPr>
        <w:numPr>
          <w:ilvl w:val="0"/>
          <w:numId w:val="12"/>
        </w:numPr>
        <w:spacing w:after="240" w:line="240" w:lineRule="auto"/>
        <w:contextualSpacing/>
        <w:textAlignment w:val="center"/>
        <w:rPr>
          <w:rFonts w:eastAsia="Times New Roman" w:cs="Calibri"/>
          <w:bCs w:val="0"/>
        </w:rPr>
      </w:pPr>
      <w:r w:rsidRPr="00E242FC">
        <w:rPr>
          <w:rFonts w:eastAsia="Times New Roman" w:cs="Calibri"/>
          <w:bCs w:val="0"/>
        </w:rPr>
        <w:t>Educates the community; and</w:t>
      </w:r>
    </w:p>
    <w:p w14:paraId="1C9F672C" w14:textId="77777777" w:rsidR="00E242FC" w:rsidRPr="00E242FC" w:rsidRDefault="00E242FC" w:rsidP="00E242FC">
      <w:pPr>
        <w:numPr>
          <w:ilvl w:val="0"/>
          <w:numId w:val="12"/>
        </w:numPr>
        <w:spacing w:after="240" w:line="240" w:lineRule="auto"/>
        <w:contextualSpacing/>
        <w:textAlignment w:val="center"/>
        <w:rPr>
          <w:rFonts w:eastAsia="Times New Roman" w:cs="Calibri"/>
          <w:bCs w:val="0"/>
        </w:rPr>
      </w:pPr>
      <w:r w:rsidRPr="00E242FC">
        <w:rPr>
          <w:rFonts w:eastAsia="Times New Roman" w:cs="Calibri"/>
          <w:bCs w:val="0"/>
        </w:rPr>
        <w:t xml:space="preserve">Improves people’s lives by reducing poverty and inequality. </w:t>
      </w:r>
    </w:p>
    <w:p w14:paraId="2A45B590" w14:textId="77777777" w:rsidR="00E242FC" w:rsidRPr="00E242FC" w:rsidRDefault="00E242FC" w:rsidP="00E242FC">
      <w:pPr>
        <w:spacing w:line="240" w:lineRule="auto"/>
        <w:ind w:firstLine="50"/>
        <w:rPr>
          <w:rFonts w:eastAsia="Times New Roman" w:cs="Calibri"/>
          <w:bCs w:val="0"/>
          <w:lang w:val="en-US"/>
        </w:rPr>
      </w:pPr>
    </w:p>
    <w:p w14:paraId="0D6708F9" w14:textId="58EF09F2" w:rsidR="006618DF" w:rsidRPr="006618DF" w:rsidRDefault="00E242FC" w:rsidP="006618DF">
      <w:pPr>
        <w:pStyle w:val="ListParagraph"/>
        <w:numPr>
          <w:ilvl w:val="0"/>
          <w:numId w:val="11"/>
        </w:numPr>
        <w:spacing w:after="240" w:line="240" w:lineRule="auto"/>
        <w:rPr>
          <w:rFonts w:eastAsia="Times New Roman" w:cs="Calibri"/>
          <w:bCs w:val="0"/>
        </w:rPr>
      </w:pPr>
      <w:r w:rsidRPr="006618DF">
        <w:rPr>
          <w:rFonts w:eastAsia="Times New Roman" w:cs="Calibri"/>
          <w:bCs w:val="0"/>
        </w:rPr>
        <w:t xml:space="preserve">EJA welcomes the opportunity to make this submission </w:t>
      </w:r>
      <w:r w:rsidR="00E53808" w:rsidRPr="006618DF">
        <w:rPr>
          <w:rFonts w:eastAsia="Times New Roman" w:cs="Calibri"/>
          <w:bCs w:val="0"/>
        </w:rPr>
        <w:t>in response</w:t>
      </w:r>
      <w:r w:rsidR="00F47C46" w:rsidRPr="006618DF">
        <w:rPr>
          <w:rFonts w:eastAsia="Times New Roman" w:cs="Calibri"/>
          <w:bCs w:val="0"/>
        </w:rPr>
        <w:t xml:space="preserve"> to questions posed in t</w:t>
      </w:r>
      <w:r w:rsidR="00BE056E">
        <w:rPr>
          <w:rFonts w:eastAsia="Times New Roman" w:cs="Calibri"/>
          <w:bCs w:val="0"/>
        </w:rPr>
        <w:t>he Indigenous Voice Discussion P</w:t>
      </w:r>
      <w:r w:rsidR="00F47C46" w:rsidRPr="006618DF">
        <w:rPr>
          <w:rFonts w:eastAsia="Times New Roman" w:cs="Calibri"/>
          <w:bCs w:val="0"/>
        </w:rPr>
        <w:t>aper</w:t>
      </w:r>
      <w:r w:rsidR="00E53808" w:rsidRPr="006618DF">
        <w:rPr>
          <w:rFonts w:eastAsia="Times New Roman" w:cs="Calibri"/>
          <w:bCs w:val="0"/>
        </w:rPr>
        <w:t>. We have responded to the questions</w:t>
      </w:r>
      <w:r w:rsidR="00F47C46" w:rsidRPr="006618DF">
        <w:rPr>
          <w:rFonts w:eastAsia="Times New Roman" w:cs="Calibri"/>
          <w:bCs w:val="0"/>
        </w:rPr>
        <w:t xml:space="preserve"> of most relevance to ensuring </w:t>
      </w:r>
      <w:r w:rsidR="00EE0F58" w:rsidRPr="006618DF">
        <w:rPr>
          <w:rFonts w:eastAsia="Times New Roman" w:cs="Calibri"/>
          <w:bCs w:val="0"/>
        </w:rPr>
        <w:t xml:space="preserve">that Aboriginal and Torres Strait Islander </w:t>
      </w:r>
      <w:r w:rsidR="005E418C" w:rsidRPr="006618DF">
        <w:rPr>
          <w:rFonts w:eastAsia="Times New Roman" w:cs="Calibri"/>
          <w:bCs w:val="0"/>
        </w:rPr>
        <w:t>communities, community bodies</w:t>
      </w:r>
      <w:r w:rsidR="00EE0F58" w:rsidRPr="006618DF">
        <w:rPr>
          <w:rFonts w:eastAsia="Times New Roman" w:cs="Calibri"/>
          <w:bCs w:val="0"/>
        </w:rPr>
        <w:t xml:space="preserve"> </w:t>
      </w:r>
      <w:r w:rsidR="005E418C" w:rsidRPr="006618DF">
        <w:rPr>
          <w:rFonts w:eastAsia="Times New Roman" w:cs="Calibri"/>
          <w:bCs w:val="0"/>
        </w:rPr>
        <w:t xml:space="preserve">and community-controlled organisations </w:t>
      </w:r>
      <w:r w:rsidR="00EE0F58" w:rsidRPr="006618DF">
        <w:rPr>
          <w:rFonts w:eastAsia="Times New Roman" w:cs="Calibri"/>
          <w:bCs w:val="0"/>
        </w:rPr>
        <w:t xml:space="preserve">have meaningful input into social security </w:t>
      </w:r>
      <w:r w:rsidR="006618DF" w:rsidRPr="006618DF">
        <w:rPr>
          <w:rFonts w:eastAsia="Times New Roman" w:cs="Calibri"/>
          <w:bCs w:val="0"/>
        </w:rPr>
        <w:t xml:space="preserve">legislation and </w:t>
      </w:r>
      <w:r w:rsidR="00EE0F58" w:rsidRPr="006618DF">
        <w:rPr>
          <w:rFonts w:eastAsia="Times New Roman" w:cs="Calibri"/>
          <w:bCs w:val="0"/>
        </w:rPr>
        <w:t>policy developmen</w:t>
      </w:r>
      <w:r w:rsidR="00E53808" w:rsidRPr="006618DF">
        <w:rPr>
          <w:rFonts w:eastAsia="Times New Roman" w:cs="Calibri"/>
          <w:bCs w:val="0"/>
        </w:rPr>
        <w:t>t</w:t>
      </w:r>
      <w:r w:rsidR="006618DF" w:rsidRPr="006618DF">
        <w:rPr>
          <w:rFonts w:eastAsia="Times New Roman" w:cs="Calibri"/>
          <w:bCs w:val="0"/>
        </w:rPr>
        <w:t>.</w:t>
      </w:r>
    </w:p>
    <w:p w14:paraId="7AA8DE51" w14:textId="77777777" w:rsidR="006618DF" w:rsidRDefault="006618DF" w:rsidP="006618DF">
      <w:pPr>
        <w:pStyle w:val="ListParagraph"/>
        <w:spacing w:after="240" w:line="240" w:lineRule="auto"/>
        <w:rPr>
          <w:rFonts w:eastAsia="Times New Roman" w:cs="Calibri"/>
          <w:bCs w:val="0"/>
        </w:rPr>
      </w:pPr>
    </w:p>
    <w:p w14:paraId="78BBC049" w14:textId="44D00050" w:rsidR="006618DF" w:rsidRPr="006618DF" w:rsidRDefault="006618DF" w:rsidP="006618DF">
      <w:pPr>
        <w:pStyle w:val="ListParagraph"/>
        <w:numPr>
          <w:ilvl w:val="0"/>
          <w:numId w:val="11"/>
        </w:numPr>
        <w:spacing w:after="240" w:line="240" w:lineRule="auto"/>
        <w:rPr>
          <w:rFonts w:eastAsia="Times New Roman" w:cs="Calibri"/>
          <w:bCs w:val="0"/>
        </w:rPr>
      </w:pPr>
      <w:r w:rsidRPr="006618DF">
        <w:rPr>
          <w:rFonts w:eastAsia="Times New Roman" w:cs="Calibri"/>
          <w:bCs w:val="0"/>
        </w:rPr>
        <w:t>We use the example of compulsory income management and the recent passage of amendments to the legislation providing for the Cashless Debit Card program as just one example of the kind of issue where the proposed National Voice is needed.</w:t>
      </w:r>
    </w:p>
    <w:p w14:paraId="6D241C92" w14:textId="331F8CB4" w:rsidR="00F47C46" w:rsidRPr="00E53808" w:rsidRDefault="00E53808" w:rsidP="00F47C46">
      <w:pPr>
        <w:spacing w:after="240" w:line="240" w:lineRule="auto"/>
        <w:contextualSpacing/>
        <w:rPr>
          <w:rFonts w:eastAsia="Times New Roman" w:cs="Calibri"/>
          <w:b/>
          <w:i/>
        </w:rPr>
      </w:pPr>
      <w:r w:rsidRPr="00E53808">
        <w:rPr>
          <w:rFonts w:eastAsia="Times New Roman" w:cs="Calibri"/>
          <w:b/>
          <w:i/>
        </w:rPr>
        <w:t>Q.</w:t>
      </w:r>
      <w:r>
        <w:rPr>
          <w:rFonts w:eastAsia="Times New Roman" w:cs="Calibri"/>
          <w:b/>
        </w:rPr>
        <w:t xml:space="preserve"> </w:t>
      </w:r>
      <w:r w:rsidR="00F47C46" w:rsidRPr="00E53808">
        <w:rPr>
          <w:rFonts w:eastAsia="Times New Roman" w:cs="Calibri"/>
          <w:b/>
          <w:i/>
        </w:rPr>
        <w:t>How do you think the proposed National Voice could support you, your organisation or your community to have your voice heard on issues of national importance?</w:t>
      </w:r>
    </w:p>
    <w:p w14:paraId="225E09EC" w14:textId="2AC00FC6" w:rsidR="0071303F" w:rsidRPr="0071303F" w:rsidRDefault="009815BC" w:rsidP="0071303F">
      <w:pPr>
        <w:pStyle w:val="ListParagraph"/>
        <w:spacing w:after="240" w:line="240" w:lineRule="auto"/>
        <w:rPr>
          <w:rFonts w:eastAsia="Times New Roman" w:cs="Calibri"/>
          <w:b/>
        </w:rPr>
      </w:pPr>
      <w:r>
        <w:rPr>
          <w:rFonts w:eastAsia="Times New Roman" w:cs="Calibri"/>
          <w:b/>
        </w:rPr>
        <w:t xml:space="preserve">Compulsory income management </w:t>
      </w:r>
      <w:r w:rsidR="0071303F">
        <w:rPr>
          <w:rFonts w:eastAsia="Times New Roman" w:cs="Calibri"/>
          <w:b/>
        </w:rPr>
        <w:t xml:space="preserve">– limited opportunities to influence </w:t>
      </w:r>
      <w:r w:rsidR="00E53808">
        <w:rPr>
          <w:rFonts w:eastAsia="Times New Roman" w:cs="Calibri"/>
          <w:b/>
        </w:rPr>
        <w:t xml:space="preserve">key </w:t>
      </w:r>
      <w:r w:rsidR="0071303F">
        <w:rPr>
          <w:rFonts w:eastAsia="Times New Roman" w:cs="Calibri"/>
          <w:b/>
        </w:rPr>
        <w:t>legislation</w:t>
      </w:r>
    </w:p>
    <w:p w14:paraId="6263CC45" w14:textId="7D2963C1" w:rsidR="00E75783" w:rsidRPr="00E75783" w:rsidRDefault="00E75783" w:rsidP="006618DF">
      <w:pPr>
        <w:numPr>
          <w:ilvl w:val="0"/>
          <w:numId w:val="11"/>
        </w:numPr>
        <w:spacing w:after="240" w:line="240" w:lineRule="auto"/>
        <w:contextualSpacing/>
        <w:rPr>
          <w:rFonts w:eastAsia="Times New Roman" w:cs="Calibri"/>
          <w:bCs w:val="0"/>
        </w:rPr>
      </w:pPr>
      <w:r w:rsidRPr="00E75783">
        <w:rPr>
          <w:rFonts w:eastAsia="Times New Roman" w:cs="Calibri"/>
          <w:bCs w:val="0"/>
        </w:rPr>
        <w:t xml:space="preserve">On 26 December 2017, the United Nations Committee on the Elimination of Racial Discrimination published its </w:t>
      </w:r>
      <w:r w:rsidRPr="00E75783">
        <w:rPr>
          <w:rFonts w:eastAsia="Times New Roman" w:cs="Calibri"/>
          <w:bCs w:val="0"/>
          <w:i/>
        </w:rPr>
        <w:t>Concluding Observations on the eighteenth to twentieth periodic reports of Australia</w:t>
      </w:r>
      <w:r w:rsidRPr="00E75783">
        <w:rPr>
          <w:rFonts w:eastAsia="Times New Roman" w:cs="Calibri"/>
          <w:bCs w:val="0"/>
        </w:rPr>
        <w:t>. The Committee expressed concern that:</w:t>
      </w:r>
    </w:p>
    <w:p w14:paraId="29A05958" w14:textId="77777777" w:rsidR="00E75783" w:rsidRPr="00E242FC" w:rsidRDefault="00E75783" w:rsidP="00E75783">
      <w:pPr>
        <w:spacing w:line="240" w:lineRule="auto"/>
        <w:ind w:left="1440"/>
        <w:contextualSpacing/>
        <w:rPr>
          <w:rFonts w:eastAsia="Times New Roman" w:cs="Calibri"/>
          <w:bCs w:val="0"/>
        </w:rPr>
      </w:pPr>
      <w:r>
        <w:rPr>
          <w:rFonts w:eastAsia="Times New Roman" w:cs="Calibri"/>
          <w:bCs w:val="0"/>
        </w:rPr>
        <w:t xml:space="preserve">‘ </w:t>
      </w:r>
      <w:r w:rsidRPr="00E242FC">
        <w:rPr>
          <w:rFonts w:eastAsia="Times New Roman" w:cs="Calibri"/>
          <w:bCs w:val="0"/>
        </w:rPr>
        <w:t>… Indigenous peoples, including those living in remote areas, face discrimination in access to social security benefits, notably through the mandatory income-management scheme and the c</w:t>
      </w:r>
      <w:r>
        <w:rPr>
          <w:rFonts w:eastAsia="Times New Roman" w:cs="Calibri"/>
          <w:bCs w:val="0"/>
        </w:rPr>
        <w:t>ommunity development programme.’</w:t>
      </w:r>
      <w:r w:rsidRPr="00E242FC">
        <w:rPr>
          <w:rFonts w:eastAsia="Times New Roman" w:cs="Calibri"/>
          <w:bCs w:val="0"/>
          <w:vertAlign w:val="superscript"/>
        </w:rPr>
        <w:footnoteReference w:id="1"/>
      </w:r>
    </w:p>
    <w:p w14:paraId="07905C7D" w14:textId="77777777" w:rsidR="00E75783" w:rsidRPr="00E242FC" w:rsidRDefault="00E75783" w:rsidP="00E75783">
      <w:pPr>
        <w:spacing w:line="240" w:lineRule="auto"/>
        <w:rPr>
          <w:rFonts w:eastAsia="Times New Roman" w:cs="Calibri"/>
          <w:bCs w:val="0"/>
        </w:rPr>
      </w:pPr>
    </w:p>
    <w:p w14:paraId="4838E0E1" w14:textId="77777777" w:rsidR="00E75783" w:rsidRPr="00E242FC" w:rsidRDefault="00E75783" w:rsidP="006618DF">
      <w:pPr>
        <w:numPr>
          <w:ilvl w:val="0"/>
          <w:numId w:val="11"/>
        </w:numPr>
        <w:spacing w:after="240" w:line="240" w:lineRule="auto"/>
        <w:contextualSpacing/>
        <w:rPr>
          <w:rFonts w:eastAsia="Times New Roman" w:cs="Calibri"/>
          <w:bCs w:val="0"/>
        </w:rPr>
      </w:pPr>
      <w:r w:rsidRPr="00E242FC">
        <w:rPr>
          <w:rFonts w:eastAsia="Times New Roman" w:cs="Calibri"/>
          <w:bCs w:val="0"/>
        </w:rPr>
        <w:t>The Committee recommended that the Australian Government;</w:t>
      </w:r>
    </w:p>
    <w:p w14:paraId="4917FDCA" w14:textId="77777777" w:rsidR="00E75783" w:rsidRPr="00E242FC" w:rsidRDefault="00E75783" w:rsidP="00E75783">
      <w:pPr>
        <w:spacing w:line="240" w:lineRule="auto"/>
        <w:ind w:left="1440"/>
        <w:rPr>
          <w:rFonts w:eastAsia="Times New Roman" w:cs="Calibri"/>
          <w:bCs w:val="0"/>
        </w:rPr>
      </w:pPr>
      <w:r>
        <w:rPr>
          <w:rFonts w:eastAsia="Times New Roman" w:cs="Calibri"/>
          <w:bCs w:val="0"/>
        </w:rPr>
        <w:t xml:space="preserve">‘ </w:t>
      </w:r>
      <w:r w:rsidRPr="00E242FC">
        <w:rPr>
          <w:rFonts w:eastAsia="Times New Roman" w:cs="Calibri"/>
          <w:bCs w:val="0"/>
        </w:rPr>
        <w:t>… reconsider the mandatory income-management scheme, which in effect disproportionally affects indigenous peoples, maintain only an opt-in income-</w:t>
      </w:r>
      <w:r w:rsidRPr="00E242FC">
        <w:rPr>
          <w:rFonts w:eastAsia="Times New Roman" w:cs="Calibri"/>
          <w:bCs w:val="0"/>
        </w:rPr>
        <w:lastRenderedPageBreak/>
        <w:t>management scheme and remove discriminatory conditions in access to social security benefits by claimants living in remote areas, the vast m</w:t>
      </w:r>
      <w:r>
        <w:rPr>
          <w:rFonts w:eastAsia="Times New Roman" w:cs="Calibri"/>
          <w:bCs w:val="0"/>
        </w:rPr>
        <w:t>ajority of whom are indigenous.’</w:t>
      </w:r>
      <w:r w:rsidRPr="00E242FC">
        <w:rPr>
          <w:rFonts w:eastAsia="Times New Roman" w:cs="Calibri"/>
          <w:bCs w:val="0"/>
          <w:vertAlign w:val="superscript"/>
        </w:rPr>
        <w:footnoteReference w:id="2"/>
      </w:r>
    </w:p>
    <w:p w14:paraId="3870175C" w14:textId="77777777" w:rsidR="00E75783" w:rsidRPr="00E242FC" w:rsidRDefault="00E75783" w:rsidP="00E75783">
      <w:pPr>
        <w:spacing w:line="240" w:lineRule="auto"/>
        <w:ind w:left="1440"/>
        <w:rPr>
          <w:rFonts w:eastAsia="Times New Roman" w:cs="Calibri"/>
          <w:bCs w:val="0"/>
        </w:rPr>
      </w:pPr>
    </w:p>
    <w:p w14:paraId="1EF3A48B" w14:textId="557F6AA1" w:rsidR="00E75783" w:rsidRPr="00E75783" w:rsidRDefault="00E75783" w:rsidP="006618DF">
      <w:pPr>
        <w:numPr>
          <w:ilvl w:val="0"/>
          <w:numId w:val="11"/>
        </w:numPr>
        <w:spacing w:after="240" w:line="240" w:lineRule="auto"/>
        <w:contextualSpacing/>
        <w:rPr>
          <w:rFonts w:eastAsia="Times New Roman" w:cs="Calibri"/>
          <w:bCs w:val="0"/>
        </w:rPr>
      </w:pPr>
      <w:r w:rsidRPr="00E75783">
        <w:rPr>
          <w:rFonts w:eastAsia="Times New Roman" w:cs="Calibri"/>
          <w:bCs w:val="0"/>
        </w:rPr>
        <w:t xml:space="preserve">This recommendation has not been implemented. Instead, the Government proceeded with plans to extend the trial CDP program into new regions, and gave no due consideration </w:t>
      </w:r>
      <w:r w:rsidR="00596444">
        <w:rPr>
          <w:rFonts w:eastAsia="Times New Roman" w:cs="Calibri"/>
          <w:bCs w:val="0"/>
        </w:rPr>
        <w:t>to</w:t>
      </w:r>
      <w:r w:rsidRPr="00E75783">
        <w:rPr>
          <w:rFonts w:eastAsia="Times New Roman" w:cs="Calibri"/>
          <w:bCs w:val="0"/>
        </w:rPr>
        <w:t xml:space="preserve"> calls for the program to be solely voluntary. </w:t>
      </w:r>
    </w:p>
    <w:p w14:paraId="0AFA073E" w14:textId="40785858" w:rsidR="00CB7E98" w:rsidRDefault="00E75783" w:rsidP="006618DF">
      <w:pPr>
        <w:pStyle w:val="ListParagraph"/>
        <w:numPr>
          <w:ilvl w:val="0"/>
          <w:numId w:val="11"/>
        </w:numPr>
        <w:spacing w:after="240" w:line="240" w:lineRule="auto"/>
        <w:rPr>
          <w:rFonts w:eastAsia="Times New Roman" w:cs="Calibri"/>
        </w:rPr>
      </w:pPr>
      <w:r>
        <w:rPr>
          <w:rFonts w:eastAsia="Times New Roman" w:cs="Calibri"/>
        </w:rPr>
        <w:t>In 2019 t</w:t>
      </w:r>
      <w:r w:rsidR="00CB7E98" w:rsidRPr="00CB7E98">
        <w:rPr>
          <w:rFonts w:eastAsia="Times New Roman" w:cs="Calibri"/>
        </w:rPr>
        <w:t>he Government introduced legislation to move the CDC program from trial to permanent status, and extend the CDC program into new areas. These amendments stalled in the Senate, and new legislation was introduced in 2020. After toing and froing between the House</w:t>
      </w:r>
      <w:r w:rsidR="00DA43CB">
        <w:rPr>
          <w:rFonts w:eastAsia="Times New Roman" w:cs="Calibri"/>
        </w:rPr>
        <w:t>s</w:t>
      </w:r>
      <w:r w:rsidR="00E53808">
        <w:rPr>
          <w:rFonts w:eastAsia="Times New Roman" w:cs="Calibri"/>
        </w:rPr>
        <w:t>, a Senate Inquiry</w:t>
      </w:r>
      <w:r w:rsidR="00DA43CB">
        <w:rPr>
          <w:rFonts w:eastAsia="Times New Roman" w:cs="Calibri"/>
        </w:rPr>
        <w:t xml:space="preserve"> and </w:t>
      </w:r>
      <w:r w:rsidR="00CB7E98" w:rsidRPr="00CB7E98">
        <w:rPr>
          <w:rFonts w:eastAsia="Times New Roman" w:cs="Calibri"/>
        </w:rPr>
        <w:t xml:space="preserve">considerable debate </w:t>
      </w:r>
      <w:r w:rsidR="00DA43CB">
        <w:rPr>
          <w:rFonts w:eastAsia="Times New Roman" w:cs="Calibri"/>
        </w:rPr>
        <w:t xml:space="preserve">regarding </w:t>
      </w:r>
      <w:r w:rsidR="00596444">
        <w:rPr>
          <w:rFonts w:eastAsia="Times New Roman" w:cs="Calibri"/>
        </w:rPr>
        <w:t xml:space="preserve">the </w:t>
      </w:r>
      <w:r w:rsidR="00DA43CB">
        <w:rPr>
          <w:rFonts w:eastAsia="Times New Roman" w:cs="Calibri"/>
        </w:rPr>
        <w:t xml:space="preserve">evaluation of the trials, </w:t>
      </w:r>
      <w:r w:rsidR="00CB7E98" w:rsidRPr="00CB7E98">
        <w:rPr>
          <w:rFonts w:eastAsia="Times New Roman" w:cs="Calibri"/>
        </w:rPr>
        <w:t xml:space="preserve">the </w:t>
      </w:r>
      <w:r w:rsidR="00DA43CB">
        <w:rPr>
          <w:rFonts w:eastAsia="Times New Roman" w:cs="Calibri"/>
        </w:rPr>
        <w:t xml:space="preserve">Bill was amended and </w:t>
      </w:r>
      <w:r w:rsidR="00CB7E98" w:rsidRPr="00CB7E98">
        <w:rPr>
          <w:rFonts w:eastAsia="Times New Roman" w:cs="Calibri"/>
        </w:rPr>
        <w:t>passed in December.</w:t>
      </w:r>
      <w:r w:rsidR="00DA43CB">
        <w:rPr>
          <w:rFonts w:eastAsia="Times New Roman" w:cs="Calibri"/>
        </w:rPr>
        <w:t xml:space="preserve"> </w:t>
      </w:r>
    </w:p>
    <w:p w14:paraId="1328A47A" w14:textId="77777777" w:rsidR="00CB7E98" w:rsidRDefault="00CB7E98" w:rsidP="00CB7E98">
      <w:pPr>
        <w:pStyle w:val="ListParagraph"/>
        <w:spacing w:after="240" w:line="240" w:lineRule="auto"/>
        <w:rPr>
          <w:rFonts w:eastAsia="Times New Roman" w:cs="Calibri"/>
        </w:rPr>
      </w:pPr>
    </w:p>
    <w:p w14:paraId="69A46874" w14:textId="0C981583" w:rsidR="00694453" w:rsidRPr="00694453" w:rsidRDefault="00694453" w:rsidP="006618DF">
      <w:pPr>
        <w:pStyle w:val="ListParagraph"/>
        <w:numPr>
          <w:ilvl w:val="0"/>
          <w:numId w:val="11"/>
        </w:numPr>
        <w:spacing w:after="240" w:line="240" w:lineRule="auto"/>
        <w:rPr>
          <w:rFonts w:eastAsia="Times New Roman" w:cs="Calibri"/>
          <w:bCs w:val="0"/>
        </w:rPr>
      </w:pPr>
      <w:r w:rsidRPr="00694453">
        <w:rPr>
          <w:rFonts w:eastAsia="Times New Roman" w:cs="Calibri"/>
          <w:bCs w:val="0"/>
        </w:rPr>
        <w:t xml:space="preserve">Most new CDC program participants </w:t>
      </w:r>
      <w:r>
        <w:rPr>
          <w:rFonts w:eastAsia="Times New Roman" w:cs="Calibri"/>
          <w:bCs w:val="0"/>
        </w:rPr>
        <w:t xml:space="preserve">under the extended rollout </w:t>
      </w:r>
      <w:r w:rsidRPr="00694453">
        <w:rPr>
          <w:rFonts w:eastAsia="Times New Roman" w:cs="Calibri"/>
          <w:bCs w:val="0"/>
        </w:rPr>
        <w:t>will be Aboriginal and Torres Strait Islander people residing in the Northern Territory and Cape York. As noted by Aboriginal Peak Organisations Northern Territory</w:t>
      </w:r>
      <w:r w:rsidR="00DA43CB">
        <w:rPr>
          <w:rFonts w:eastAsia="Times New Roman" w:cs="Calibri"/>
          <w:bCs w:val="0"/>
        </w:rPr>
        <w:t xml:space="preserve"> during debate of the legislation</w:t>
      </w:r>
      <w:r w:rsidRPr="00694453">
        <w:rPr>
          <w:rFonts w:eastAsia="Times New Roman" w:cs="Calibri"/>
          <w:bCs w:val="0"/>
        </w:rPr>
        <w:t>:</w:t>
      </w:r>
    </w:p>
    <w:p w14:paraId="6295FA41" w14:textId="77777777" w:rsidR="00694453" w:rsidRPr="00E242FC" w:rsidRDefault="00694453" w:rsidP="00694453">
      <w:pPr>
        <w:spacing w:line="240" w:lineRule="auto"/>
        <w:ind w:left="1440"/>
        <w:contextualSpacing/>
        <w:rPr>
          <w:rFonts w:eastAsia="Times New Roman" w:cs="Calibri"/>
          <w:bCs w:val="0"/>
        </w:rPr>
      </w:pPr>
      <w:r>
        <w:rPr>
          <w:rFonts w:eastAsia="Times New Roman" w:cs="Calibri"/>
          <w:bCs w:val="0"/>
        </w:rPr>
        <w:t>‘</w:t>
      </w:r>
      <w:r w:rsidRPr="00E242FC">
        <w:rPr>
          <w:rFonts w:eastAsia="Times New Roman" w:cs="Calibri"/>
          <w:bCs w:val="0"/>
        </w:rPr>
        <w:t>Support for the bill would directly contradict the recent National Agreement on Closing the Gap that was supported by all levels of government including the Commonwealth. It is not in keeping with the spirit of the agreement and its emphasis on Aboriginal and Torres Stra</w:t>
      </w:r>
      <w:r>
        <w:rPr>
          <w:rFonts w:eastAsia="Times New Roman" w:cs="Calibri"/>
          <w:bCs w:val="0"/>
        </w:rPr>
        <w:t>it Islander self-determination.</w:t>
      </w:r>
      <w:r w:rsidRPr="00E242FC">
        <w:rPr>
          <w:rFonts w:eastAsia="Times New Roman" w:cs="Calibri"/>
          <w:bCs w:val="0"/>
          <w:vertAlign w:val="superscript"/>
        </w:rPr>
        <w:footnoteReference w:id="3"/>
      </w:r>
    </w:p>
    <w:p w14:paraId="2EAE79F0" w14:textId="77777777" w:rsidR="00694453" w:rsidRPr="00E242FC" w:rsidRDefault="00694453" w:rsidP="00694453">
      <w:pPr>
        <w:spacing w:line="240" w:lineRule="auto"/>
        <w:ind w:left="720"/>
        <w:contextualSpacing/>
        <w:rPr>
          <w:rFonts w:eastAsia="Times New Roman" w:cs="Calibri"/>
          <w:bCs w:val="0"/>
        </w:rPr>
      </w:pPr>
    </w:p>
    <w:p w14:paraId="7688BC5C" w14:textId="15277698" w:rsidR="00694453" w:rsidRPr="00E242FC" w:rsidRDefault="00DA43CB" w:rsidP="006618DF">
      <w:pPr>
        <w:numPr>
          <w:ilvl w:val="0"/>
          <w:numId w:val="11"/>
        </w:numPr>
        <w:spacing w:after="240" w:line="240" w:lineRule="auto"/>
        <w:contextualSpacing/>
        <w:rPr>
          <w:rFonts w:eastAsia="Times New Roman" w:cs="Calibri"/>
          <w:bCs w:val="0"/>
        </w:rPr>
      </w:pPr>
      <w:r>
        <w:rPr>
          <w:rFonts w:eastAsia="Times New Roman" w:cs="Calibri"/>
          <w:bCs w:val="0"/>
        </w:rPr>
        <w:t xml:space="preserve">In extending the CDC program </w:t>
      </w:r>
      <w:r w:rsidR="00694453" w:rsidRPr="00E242FC">
        <w:rPr>
          <w:rFonts w:eastAsia="Times New Roman" w:cs="Calibri"/>
          <w:bCs w:val="0"/>
        </w:rPr>
        <w:t xml:space="preserve">inadequate regard </w:t>
      </w:r>
      <w:r>
        <w:rPr>
          <w:rFonts w:eastAsia="Times New Roman" w:cs="Calibri"/>
          <w:bCs w:val="0"/>
        </w:rPr>
        <w:t xml:space="preserve">was given </w:t>
      </w:r>
      <w:r w:rsidR="00694453" w:rsidRPr="00E242FC">
        <w:rPr>
          <w:rFonts w:eastAsia="Times New Roman" w:cs="Calibri"/>
          <w:bCs w:val="0"/>
        </w:rPr>
        <w:t xml:space="preserve">to the fact that Aboriginal and Torres Strait Islander communities across regional and remote Australia are culturally diverse, with representative community-controlled organisations partnering with a range of agencies to enhance community wellbeing. Given the weight of empirical evidence indicating fundamental issues regarding the CDC program to date, including the overwhelmingly negative experiences reported by participants and communities, </w:t>
      </w:r>
      <w:r w:rsidR="00BE056E">
        <w:rPr>
          <w:rFonts w:eastAsia="Times New Roman" w:cs="Calibri"/>
          <w:bCs w:val="0"/>
        </w:rPr>
        <w:t xml:space="preserve">EJA believes that </w:t>
      </w:r>
      <w:r w:rsidR="00694453" w:rsidRPr="00E242FC">
        <w:rPr>
          <w:rFonts w:eastAsia="Times New Roman" w:cs="Calibri"/>
          <w:bCs w:val="0"/>
        </w:rPr>
        <w:t xml:space="preserve">the further rolling out of the program without extensive community consultation with organisations representing all affected Aboriginal and Torres Strait Communities </w:t>
      </w:r>
      <w:r>
        <w:rPr>
          <w:rFonts w:eastAsia="Times New Roman" w:cs="Calibri"/>
          <w:bCs w:val="0"/>
        </w:rPr>
        <w:t>was</w:t>
      </w:r>
      <w:r w:rsidR="00694453" w:rsidRPr="00E242FC">
        <w:rPr>
          <w:rFonts w:eastAsia="Times New Roman" w:cs="Calibri"/>
          <w:bCs w:val="0"/>
        </w:rPr>
        <w:t xml:space="preserve"> unconscionable.</w:t>
      </w:r>
    </w:p>
    <w:p w14:paraId="76AEFCE5" w14:textId="77777777" w:rsidR="00694453" w:rsidRPr="00E242FC" w:rsidRDefault="00694453" w:rsidP="00694453">
      <w:pPr>
        <w:spacing w:line="240" w:lineRule="auto"/>
        <w:ind w:left="720"/>
        <w:contextualSpacing/>
        <w:rPr>
          <w:rFonts w:eastAsia="Times New Roman" w:cs="Calibri"/>
          <w:bCs w:val="0"/>
        </w:rPr>
      </w:pPr>
    </w:p>
    <w:p w14:paraId="3228D78D" w14:textId="6323E136" w:rsidR="00694453" w:rsidRPr="00E242FC" w:rsidRDefault="00694453" w:rsidP="006618DF">
      <w:pPr>
        <w:numPr>
          <w:ilvl w:val="0"/>
          <w:numId w:val="11"/>
        </w:numPr>
        <w:spacing w:after="240" w:line="240" w:lineRule="auto"/>
        <w:contextualSpacing/>
        <w:rPr>
          <w:rFonts w:eastAsia="Times New Roman" w:cs="Calibri"/>
          <w:bCs w:val="0"/>
        </w:rPr>
      </w:pPr>
      <w:r w:rsidRPr="00E242FC">
        <w:rPr>
          <w:rFonts w:eastAsia="Times New Roman" w:cs="Calibri"/>
          <w:bCs w:val="0"/>
        </w:rPr>
        <w:t xml:space="preserve">Importantly, the </w:t>
      </w:r>
      <w:r w:rsidR="00DA43CB">
        <w:rPr>
          <w:rFonts w:eastAsia="Times New Roman" w:cs="Calibri"/>
          <w:bCs w:val="0"/>
        </w:rPr>
        <w:t>amendments failed</w:t>
      </w:r>
      <w:r w:rsidRPr="00E242FC">
        <w:rPr>
          <w:rFonts w:eastAsia="Times New Roman" w:cs="Calibri"/>
          <w:bCs w:val="0"/>
        </w:rPr>
        <w:t xml:space="preserve"> to include reference to one of the objects of the trial – i.e., to determine whether the CDC is more effective when community bodies are involved. This lack of regard to evaluating what has purportedly been a ‘trial’, and communicate trial findings to communities, will only serve to deepen existing issues associated with inadequate consultation with affected communities.</w:t>
      </w:r>
      <w:r w:rsidRPr="00E242FC">
        <w:rPr>
          <w:rFonts w:eastAsia="Times New Roman" w:cs="Calibri"/>
          <w:bCs w:val="0"/>
          <w:vertAlign w:val="superscript"/>
        </w:rPr>
        <w:footnoteReference w:id="4"/>
      </w:r>
      <w:r w:rsidRPr="00E242FC">
        <w:rPr>
          <w:rFonts w:eastAsia="Times New Roman" w:cs="Calibri"/>
          <w:bCs w:val="0"/>
        </w:rPr>
        <w:t xml:space="preserve"> </w:t>
      </w:r>
    </w:p>
    <w:p w14:paraId="63E20786" w14:textId="77777777" w:rsidR="00694453" w:rsidRPr="00E242FC" w:rsidRDefault="00694453" w:rsidP="00694453">
      <w:pPr>
        <w:spacing w:line="240" w:lineRule="auto"/>
        <w:ind w:left="720"/>
        <w:contextualSpacing/>
        <w:rPr>
          <w:rFonts w:eastAsia="Times New Roman" w:cs="Calibri"/>
          <w:bCs w:val="0"/>
        </w:rPr>
      </w:pPr>
    </w:p>
    <w:p w14:paraId="1FFC80E9" w14:textId="77777777" w:rsidR="005E5E6F" w:rsidRDefault="00694453" w:rsidP="006618DF">
      <w:pPr>
        <w:numPr>
          <w:ilvl w:val="0"/>
          <w:numId w:val="11"/>
        </w:numPr>
        <w:spacing w:after="240" w:line="240" w:lineRule="auto"/>
        <w:contextualSpacing/>
        <w:rPr>
          <w:rFonts w:eastAsia="Times New Roman" w:cs="Calibri"/>
          <w:bCs w:val="0"/>
        </w:rPr>
      </w:pPr>
      <w:r w:rsidRPr="005E5E6F">
        <w:rPr>
          <w:rFonts w:eastAsia="Times New Roman" w:cs="Calibri"/>
          <w:bCs w:val="0"/>
        </w:rPr>
        <w:t>The ‘top-down’ imposition of the program contradicts its stated objectives of supporting participants with budgeting strategies and encouraging socially responsible behaviour.</w:t>
      </w:r>
      <w:r w:rsidRPr="00E242FC">
        <w:rPr>
          <w:rFonts w:eastAsia="Times New Roman" w:cs="Calibri"/>
          <w:bCs w:val="0"/>
          <w:vertAlign w:val="superscript"/>
        </w:rPr>
        <w:footnoteReference w:id="5"/>
      </w:r>
      <w:r w:rsidRPr="005E5E6F">
        <w:rPr>
          <w:rFonts w:eastAsia="Times New Roman" w:cs="Calibri"/>
          <w:bCs w:val="0"/>
        </w:rPr>
        <w:t xml:space="preserve"> The degree to which people feel that they have autonomy and control over their actions and circumstances is a key determinant of responsible financial management and socially </w:t>
      </w:r>
      <w:r w:rsidRPr="005E5E6F">
        <w:rPr>
          <w:rFonts w:eastAsia="Times New Roman" w:cs="Calibri"/>
          <w:bCs w:val="0"/>
        </w:rPr>
        <w:lastRenderedPageBreak/>
        <w:t>responsible behaviour.</w:t>
      </w:r>
      <w:r w:rsidRPr="00E242FC">
        <w:rPr>
          <w:rFonts w:eastAsia="Times New Roman" w:cs="Calibri"/>
          <w:bCs w:val="0"/>
          <w:vertAlign w:val="superscript"/>
        </w:rPr>
        <w:footnoteReference w:id="6"/>
      </w:r>
      <w:r w:rsidRPr="005E5E6F">
        <w:rPr>
          <w:rFonts w:eastAsia="Times New Roman" w:cs="Calibri"/>
          <w:bCs w:val="0"/>
        </w:rPr>
        <w:t xml:space="preserve"> Participants in the CDC trials have reported feeling ‘powerless’ and having ‘control … taken away’ by the lack of consultation and the restrictions of the card.</w:t>
      </w:r>
      <w:r w:rsidRPr="00E242FC">
        <w:rPr>
          <w:rFonts w:eastAsia="Times New Roman" w:cs="Calibri"/>
          <w:bCs w:val="0"/>
          <w:vertAlign w:val="superscript"/>
        </w:rPr>
        <w:footnoteReference w:id="7"/>
      </w:r>
      <w:r w:rsidRPr="005E5E6F">
        <w:rPr>
          <w:rFonts w:eastAsia="Times New Roman" w:cs="Calibri"/>
          <w:bCs w:val="0"/>
        </w:rPr>
        <w:t xml:space="preserve"> The CDC program’s lack of basis in community consultation and self-determination takes away the autonomy of participants in a way that undermines the program’s key objectives.</w:t>
      </w:r>
    </w:p>
    <w:p w14:paraId="6DA232BC" w14:textId="75F76512" w:rsidR="005E5E6F" w:rsidRPr="005E5E6F" w:rsidRDefault="005E5E6F" w:rsidP="006618DF">
      <w:pPr>
        <w:pStyle w:val="ListParagraph"/>
        <w:numPr>
          <w:ilvl w:val="0"/>
          <w:numId w:val="11"/>
        </w:numPr>
        <w:spacing w:after="240" w:line="240" w:lineRule="auto"/>
        <w:rPr>
          <w:rFonts w:eastAsia="Times New Roman" w:cs="Calibri"/>
          <w:bCs w:val="0"/>
        </w:rPr>
      </w:pPr>
      <w:r w:rsidRPr="005E5E6F">
        <w:rPr>
          <w:rFonts w:eastAsia="Times New Roman" w:cs="Calibri"/>
          <w:bCs w:val="0"/>
        </w:rPr>
        <w:t>Although CDC program participants may apply to exit the CDC program, the exit criteria are complex and opaque</w:t>
      </w:r>
      <w:r w:rsidR="00BF222D">
        <w:rPr>
          <w:rFonts w:eastAsia="Times New Roman" w:cs="Calibri"/>
          <w:bCs w:val="0"/>
        </w:rPr>
        <w:t xml:space="preserve">. The </w:t>
      </w:r>
      <w:r>
        <w:rPr>
          <w:rFonts w:eastAsia="Times New Roman" w:cs="Calibri"/>
          <w:bCs w:val="0"/>
        </w:rPr>
        <w:t xml:space="preserve">onerous exit application process is a significant barrier for people </w:t>
      </w:r>
      <w:r w:rsidR="00BE056E">
        <w:rPr>
          <w:rFonts w:eastAsia="Times New Roman" w:cs="Calibri"/>
          <w:bCs w:val="0"/>
        </w:rPr>
        <w:t>whose first language is not English</w:t>
      </w:r>
      <w:r>
        <w:rPr>
          <w:rFonts w:eastAsia="Times New Roman" w:cs="Calibri"/>
          <w:bCs w:val="0"/>
        </w:rPr>
        <w:t xml:space="preserve"> </w:t>
      </w:r>
      <w:r w:rsidR="00BE056E">
        <w:rPr>
          <w:rFonts w:eastAsia="Times New Roman" w:cs="Calibri"/>
          <w:bCs w:val="0"/>
        </w:rPr>
        <w:t>and people with low level</w:t>
      </w:r>
      <w:r>
        <w:rPr>
          <w:rFonts w:eastAsia="Times New Roman" w:cs="Calibri"/>
          <w:bCs w:val="0"/>
        </w:rPr>
        <w:t xml:space="preserve"> </w:t>
      </w:r>
      <w:r w:rsidR="00BE056E">
        <w:rPr>
          <w:rFonts w:eastAsia="Times New Roman" w:cs="Calibri"/>
          <w:bCs w:val="0"/>
        </w:rPr>
        <w:t xml:space="preserve">English </w:t>
      </w:r>
      <w:r>
        <w:rPr>
          <w:rFonts w:eastAsia="Times New Roman" w:cs="Calibri"/>
          <w:bCs w:val="0"/>
        </w:rPr>
        <w:t>literacy</w:t>
      </w:r>
      <w:r w:rsidR="00BE056E">
        <w:rPr>
          <w:rFonts w:eastAsia="Times New Roman" w:cs="Calibri"/>
          <w:bCs w:val="0"/>
        </w:rPr>
        <w:t xml:space="preserve">, and </w:t>
      </w:r>
      <w:r>
        <w:rPr>
          <w:rFonts w:eastAsia="Times New Roman" w:cs="Calibri"/>
          <w:bCs w:val="0"/>
        </w:rPr>
        <w:t xml:space="preserve">for vulnerable </w:t>
      </w:r>
      <w:r w:rsidR="002D49AC">
        <w:rPr>
          <w:rFonts w:eastAsia="Times New Roman" w:cs="Calibri"/>
          <w:bCs w:val="0"/>
        </w:rPr>
        <w:t>women and young people</w:t>
      </w:r>
      <w:r>
        <w:rPr>
          <w:rFonts w:eastAsia="Times New Roman" w:cs="Calibri"/>
          <w:bCs w:val="0"/>
        </w:rPr>
        <w:t xml:space="preserve"> in </w:t>
      </w:r>
      <w:r w:rsidR="00BE056E">
        <w:rPr>
          <w:rFonts w:eastAsia="Times New Roman" w:cs="Calibri"/>
          <w:bCs w:val="0"/>
        </w:rPr>
        <w:t xml:space="preserve">urgent </w:t>
      </w:r>
      <w:r>
        <w:rPr>
          <w:rFonts w:eastAsia="Times New Roman" w:cs="Calibri"/>
          <w:bCs w:val="0"/>
        </w:rPr>
        <w:t xml:space="preserve">need of access to cash due to domestic violence and/or homelessness. </w:t>
      </w:r>
    </w:p>
    <w:p w14:paraId="44FDD8FF" w14:textId="6959845D" w:rsidR="009815BC" w:rsidRDefault="00A952ED" w:rsidP="006618DF">
      <w:pPr>
        <w:numPr>
          <w:ilvl w:val="0"/>
          <w:numId w:val="11"/>
        </w:numPr>
        <w:spacing w:after="240" w:line="240" w:lineRule="auto"/>
        <w:contextualSpacing/>
        <w:rPr>
          <w:rFonts w:eastAsia="Times New Roman" w:cs="Calibri"/>
          <w:bCs w:val="0"/>
        </w:rPr>
      </w:pPr>
      <w:r w:rsidRPr="00E53808">
        <w:rPr>
          <w:rFonts w:eastAsia="Times New Roman" w:cs="Calibri"/>
          <w:bCs w:val="0"/>
        </w:rPr>
        <w:t xml:space="preserve">It is clear to us that had there been an Indigenous Voice in place, the process for consideration of any extended rollout of the CDC program would have been very </w:t>
      </w:r>
      <w:r w:rsidR="00891B89" w:rsidRPr="00E53808">
        <w:rPr>
          <w:rFonts w:eastAsia="Times New Roman" w:cs="Calibri"/>
          <w:bCs w:val="0"/>
        </w:rPr>
        <w:t>different</w:t>
      </w:r>
      <w:r w:rsidR="009815BC">
        <w:rPr>
          <w:rFonts w:eastAsia="Times New Roman" w:cs="Calibri"/>
          <w:bCs w:val="0"/>
        </w:rPr>
        <w:t xml:space="preserve"> – and processes would have ensured proper scrutiny of proposals that both the CDC program, and the separate the Income Management scheme, be purely voluntary</w:t>
      </w:r>
      <w:r w:rsidR="00891B89" w:rsidRPr="00E53808">
        <w:rPr>
          <w:rFonts w:eastAsia="Times New Roman" w:cs="Calibri"/>
          <w:bCs w:val="0"/>
        </w:rPr>
        <w:t>.</w:t>
      </w:r>
    </w:p>
    <w:p w14:paraId="597A9882" w14:textId="77777777" w:rsidR="009815BC" w:rsidRPr="009815BC" w:rsidRDefault="009815BC" w:rsidP="009815BC">
      <w:pPr>
        <w:ind w:left="360"/>
        <w:rPr>
          <w:rFonts w:eastAsia="Times New Roman" w:cs="Calibri"/>
          <w:bCs w:val="0"/>
        </w:rPr>
      </w:pPr>
    </w:p>
    <w:p w14:paraId="1D6904DA" w14:textId="53DC4F7B" w:rsidR="00F47C46" w:rsidRDefault="00F47C46" w:rsidP="00F47C46">
      <w:pPr>
        <w:spacing w:after="240" w:line="240" w:lineRule="auto"/>
        <w:contextualSpacing/>
        <w:rPr>
          <w:rFonts w:eastAsia="Times New Roman" w:cs="Calibri"/>
          <w:b/>
        </w:rPr>
      </w:pPr>
      <w:r w:rsidRPr="00EE0F58">
        <w:rPr>
          <w:rFonts w:eastAsia="Times New Roman" w:cs="Calibri"/>
          <w:b/>
        </w:rPr>
        <w:t xml:space="preserve">Do you think the scope of the proposed National Voice would empower Aboriginal and Torres Strait Islander people at a national level? </w:t>
      </w:r>
    </w:p>
    <w:p w14:paraId="45E2161F" w14:textId="0D778772" w:rsidR="00E75783" w:rsidRPr="009F47F5" w:rsidRDefault="00E75783" w:rsidP="00F47C46">
      <w:pPr>
        <w:spacing w:after="240" w:line="240" w:lineRule="auto"/>
        <w:contextualSpacing/>
        <w:rPr>
          <w:rFonts w:eastAsia="Times New Roman" w:cs="Calibri"/>
        </w:rPr>
      </w:pPr>
    </w:p>
    <w:p w14:paraId="3D93CE45" w14:textId="6A97F582" w:rsidR="00E75783" w:rsidRDefault="00981AFE" w:rsidP="006618DF">
      <w:pPr>
        <w:pStyle w:val="ListParagraph"/>
        <w:numPr>
          <w:ilvl w:val="0"/>
          <w:numId w:val="11"/>
        </w:numPr>
        <w:spacing w:after="240" w:line="240" w:lineRule="auto"/>
        <w:rPr>
          <w:rFonts w:eastAsia="Times New Roman" w:cs="Calibri"/>
        </w:rPr>
      </w:pPr>
      <w:r w:rsidRPr="0071303F">
        <w:rPr>
          <w:rFonts w:eastAsia="Times New Roman" w:cs="Calibri"/>
        </w:rPr>
        <w:t>There</w:t>
      </w:r>
      <w:r w:rsidR="00596444" w:rsidRPr="0071303F">
        <w:rPr>
          <w:rFonts w:eastAsia="Times New Roman" w:cs="Calibri"/>
        </w:rPr>
        <w:t xml:space="preserve"> is </w:t>
      </w:r>
      <w:r w:rsidRPr="0071303F">
        <w:rPr>
          <w:rFonts w:eastAsia="Times New Roman" w:cs="Calibri"/>
        </w:rPr>
        <w:t>currently</w:t>
      </w:r>
      <w:r w:rsidR="00596444" w:rsidRPr="0071303F">
        <w:rPr>
          <w:rFonts w:eastAsia="Times New Roman" w:cs="Calibri"/>
        </w:rPr>
        <w:t xml:space="preserve"> no conduit for Aboriginal and Torres Strait Islander </w:t>
      </w:r>
      <w:r w:rsidRPr="0071303F">
        <w:rPr>
          <w:rFonts w:eastAsia="Times New Roman" w:cs="Calibri"/>
        </w:rPr>
        <w:t xml:space="preserve">individuals or </w:t>
      </w:r>
      <w:r w:rsidR="00596444" w:rsidRPr="0071303F">
        <w:rPr>
          <w:rFonts w:eastAsia="Times New Roman" w:cs="Calibri"/>
        </w:rPr>
        <w:t>community organisations</w:t>
      </w:r>
      <w:r w:rsidRPr="0071303F">
        <w:rPr>
          <w:rFonts w:eastAsia="Times New Roman" w:cs="Calibri"/>
        </w:rPr>
        <w:t xml:space="preserve"> to influence </w:t>
      </w:r>
      <w:r w:rsidR="009815BC">
        <w:rPr>
          <w:rFonts w:eastAsia="Times New Roman" w:cs="Calibri"/>
        </w:rPr>
        <w:t xml:space="preserve">national </w:t>
      </w:r>
      <w:r w:rsidRPr="0071303F">
        <w:rPr>
          <w:rFonts w:eastAsia="Times New Roman" w:cs="Calibri"/>
        </w:rPr>
        <w:t>policy development</w:t>
      </w:r>
      <w:r w:rsidR="009F47F5" w:rsidRPr="0071303F">
        <w:rPr>
          <w:rFonts w:eastAsia="Times New Roman" w:cs="Calibri"/>
        </w:rPr>
        <w:t xml:space="preserve">. </w:t>
      </w:r>
      <w:r w:rsidRPr="0071303F">
        <w:rPr>
          <w:rFonts w:eastAsia="Times New Roman" w:cs="Calibri"/>
        </w:rPr>
        <w:t xml:space="preserve">As noted in the Discussion Paper, “the National Voice could be proactive in providing advice, it would not have to wait for a request or invitation”. </w:t>
      </w:r>
      <w:r w:rsidR="0071303F" w:rsidRPr="0071303F">
        <w:rPr>
          <w:rFonts w:eastAsia="Times New Roman" w:cs="Calibri"/>
        </w:rPr>
        <w:t xml:space="preserve">In the CDC program example, this would mean that communities would have been empowered to provide ongoing input, proactively, via the National Voice structure – rather than being restricted to ad hoc local consultations at one end of the spectrum, and high-level submissions to Senate Committees at the other.  </w:t>
      </w:r>
    </w:p>
    <w:p w14:paraId="571A7D40" w14:textId="77777777" w:rsidR="00B35690" w:rsidRPr="00B35690" w:rsidRDefault="00B35690" w:rsidP="00B35690">
      <w:pPr>
        <w:pStyle w:val="ListParagraph"/>
        <w:spacing w:after="240" w:line="240" w:lineRule="auto"/>
        <w:rPr>
          <w:rFonts w:eastAsia="Times New Roman" w:cs="Calibri"/>
        </w:rPr>
      </w:pPr>
    </w:p>
    <w:p w14:paraId="5A3FBEC9" w14:textId="574DBA07" w:rsidR="00B35690" w:rsidRPr="00B35690" w:rsidRDefault="00B35690" w:rsidP="006618DF">
      <w:pPr>
        <w:pStyle w:val="ListParagraph"/>
        <w:numPr>
          <w:ilvl w:val="0"/>
          <w:numId w:val="11"/>
        </w:numPr>
        <w:spacing w:after="240" w:line="240" w:lineRule="auto"/>
        <w:rPr>
          <w:lang w:val="en-US"/>
        </w:rPr>
      </w:pPr>
      <w:r>
        <w:t xml:space="preserve">In addition to high level policy programming issues such as income support quarantining, Aboriginal and Torres Strait Islander people are disproportionately impacted by a range of ongoing systemic issues which have existed for </w:t>
      </w:r>
      <w:r w:rsidR="00BE056E">
        <w:t>decades</w:t>
      </w:r>
      <w:r>
        <w:t xml:space="preserve"> but have not been addressed. These </w:t>
      </w:r>
      <w:r w:rsidR="005066D2">
        <w:t>issues</w:t>
      </w:r>
      <w:r w:rsidR="00BE056E">
        <w:t xml:space="preserve">, which </w:t>
      </w:r>
      <w:r w:rsidR="005066D2">
        <w:t xml:space="preserve">have been documented in countless research reports and submissions to inquiries and consultations over the years, </w:t>
      </w:r>
      <w:r>
        <w:t>include:</w:t>
      </w:r>
    </w:p>
    <w:p w14:paraId="6DDEE7B5" w14:textId="77777777" w:rsidR="00B35690" w:rsidRDefault="00B35690" w:rsidP="00B35690">
      <w:pPr>
        <w:pStyle w:val="ListParagraph"/>
      </w:pPr>
    </w:p>
    <w:p w14:paraId="6BCBB6BE" w14:textId="1C4B3DC8" w:rsidR="00B35690" w:rsidRDefault="00B35690" w:rsidP="00B35690">
      <w:pPr>
        <w:pStyle w:val="ListParagraph"/>
        <w:numPr>
          <w:ilvl w:val="0"/>
          <w:numId w:val="20"/>
        </w:numPr>
        <w:spacing w:after="240" w:line="240" w:lineRule="auto"/>
        <w:rPr>
          <w:lang w:val="en-US"/>
        </w:rPr>
      </w:pPr>
      <w:r w:rsidRPr="00B35690">
        <w:rPr>
          <w:lang w:val="en-US"/>
        </w:rPr>
        <w:t>Disproportionately high rates of mutual obligation non-payment penalties for Aboriginal</w:t>
      </w:r>
      <w:r>
        <w:rPr>
          <w:lang w:val="en-US"/>
        </w:rPr>
        <w:t xml:space="preserve"> and Torres Strait Islander</w:t>
      </w:r>
      <w:r w:rsidRPr="00B35690">
        <w:rPr>
          <w:lang w:val="en-US"/>
        </w:rPr>
        <w:t xml:space="preserve"> people in regional and remote communities</w:t>
      </w:r>
    </w:p>
    <w:p w14:paraId="50C3F2EA" w14:textId="11671585" w:rsidR="00B35690" w:rsidRDefault="00B35690" w:rsidP="00B35690">
      <w:pPr>
        <w:pStyle w:val="ListParagraph"/>
        <w:numPr>
          <w:ilvl w:val="0"/>
          <w:numId w:val="20"/>
        </w:numPr>
        <w:spacing w:after="240" w:line="240" w:lineRule="auto"/>
        <w:rPr>
          <w:lang w:val="en-US"/>
        </w:rPr>
      </w:pPr>
      <w:r>
        <w:rPr>
          <w:lang w:val="en-US"/>
        </w:rPr>
        <w:t>Disproportionately low rates of Disability Support Pension and Carer Payment claims and grants, especially in remote communities, despite disproportionately high rates of disability</w:t>
      </w:r>
      <w:r w:rsidR="00C10780">
        <w:rPr>
          <w:lang w:val="en-US"/>
        </w:rPr>
        <w:t xml:space="preserve"> and chronic health issues</w:t>
      </w:r>
    </w:p>
    <w:p w14:paraId="7E11C4A5" w14:textId="67C37593" w:rsidR="00B35690" w:rsidRDefault="00B35690" w:rsidP="00B35690">
      <w:pPr>
        <w:pStyle w:val="ListParagraph"/>
        <w:numPr>
          <w:ilvl w:val="0"/>
          <w:numId w:val="20"/>
        </w:numPr>
        <w:spacing w:after="240" w:line="240" w:lineRule="auto"/>
        <w:rPr>
          <w:lang w:val="en-US"/>
        </w:rPr>
      </w:pPr>
      <w:r>
        <w:rPr>
          <w:lang w:val="en-US"/>
        </w:rPr>
        <w:t>H</w:t>
      </w:r>
      <w:r w:rsidRPr="00B35690">
        <w:rPr>
          <w:lang w:val="en-US"/>
        </w:rPr>
        <w:t xml:space="preserve">igh rates of disengagement with the social security system </w:t>
      </w:r>
      <w:r>
        <w:rPr>
          <w:lang w:val="en-US"/>
        </w:rPr>
        <w:t xml:space="preserve">in remote communities, </w:t>
      </w:r>
      <w:r w:rsidRPr="00B35690">
        <w:rPr>
          <w:lang w:val="en-US"/>
        </w:rPr>
        <w:t xml:space="preserve">including among </w:t>
      </w:r>
      <w:r w:rsidR="00C10780">
        <w:rPr>
          <w:lang w:val="en-US"/>
        </w:rPr>
        <w:t xml:space="preserve">vulnerable young </w:t>
      </w:r>
      <w:r w:rsidRPr="00B35690">
        <w:rPr>
          <w:lang w:val="en-US"/>
        </w:rPr>
        <w:t xml:space="preserve">people with disability </w:t>
      </w:r>
      <w:r w:rsidR="005066D2">
        <w:rPr>
          <w:lang w:val="en-US"/>
        </w:rPr>
        <w:t xml:space="preserve">(including young people with cognitive impairment) </w:t>
      </w:r>
      <w:r w:rsidRPr="00B35690">
        <w:rPr>
          <w:lang w:val="en-US"/>
        </w:rPr>
        <w:t xml:space="preserve">and </w:t>
      </w:r>
      <w:r w:rsidR="00C10780">
        <w:rPr>
          <w:lang w:val="en-US"/>
        </w:rPr>
        <w:t xml:space="preserve">older people </w:t>
      </w:r>
      <w:r w:rsidR="005066D2">
        <w:rPr>
          <w:lang w:val="en-US"/>
        </w:rPr>
        <w:t xml:space="preserve">with multiple </w:t>
      </w:r>
      <w:r w:rsidRPr="00B35690">
        <w:rPr>
          <w:lang w:val="en-US"/>
        </w:rPr>
        <w:t>chronic he</w:t>
      </w:r>
      <w:r>
        <w:rPr>
          <w:lang w:val="en-US"/>
        </w:rPr>
        <w:t>alth issues</w:t>
      </w:r>
    </w:p>
    <w:p w14:paraId="0DB0ACAB" w14:textId="6F54E634" w:rsidR="005066D2" w:rsidRDefault="005066D2" w:rsidP="00B35690">
      <w:pPr>
        <w:pStyle w:val="ListParagraph"/>
        <w:numPr>
          <w:ilvl w:val="0"/>
          <w:numId w:val="20"/>
        </w:numPr>
        <w:spacing w:after="240" w:line="240" w:lineRule="auto"/>
        <w:rPr>
          <w:lang w:val="en-US"/>
        </w:rPr>
      </w:pPr>
      <w:r>
        <w:rPr>
          <w:lang w:val="en-US"/>
        </w:rPr>
        <w:t>High rates of social security and family assistance debt among Aboriginal and Torres Strait Islander people - particularly among women, and including among women experiencing domestic violence</w:t>
      </w:r>
    </w:p>
    <w:p w14:paraId="14ABA1A9" w14:textId="1607795F" w:rsidR="00B35690" w:rsidRDefault="00C10780" w:rsidP="00B35690">
      <w:pPr>
        <w:pStyle w:val="ListParagraph"/>
        <w:numPr>
          <w:ilvl w:val="0"/>
          <w:numId w:val="20"/>
        </w:numPr>
        <w:spacing w:after="240" w:line="240" w:lineRule="auto"/>
        <w:rPr>
          <w:lang w:val="en-US"/>
        </w:rPr>
      </w:pPr>
      <w:r>
        <w:rPr>
          <w:lang w:val="en-US"/>
        </w:rPr>
        <w:t>Disproportionately low rates of appeal to the Administrative Appeals Tribunal, despite high rates of adverse decisions.</w:t>
      </w:r>
    </w:p>
    <w:p w14:paraId="62B26FD7" w14:textId="1CCEAECA" w:rsidR="00B35690" w:rsidRDefault="00C10780" w:rsidP="006618DF">
      <w:pPr>
        <w:pStyle w:val="ListParagraph"/>
        <w:numPr>
          <w:ilvl w:val="0"/>
          <w:numId w:val="11"/>
        </w:numPr>
        <w:spacing w:after="240" w:line="240" w:lineRule="auto"/>
        <w:rPr>
          <w:rFonts w:eastAsia="Times New Roman" w:cs="Calibri"/>
        </w:rPr>
      </w:pPr>
      <w:r>
        <w:rPr>
          <w:rFonts w:eastAsia="Times New Roman" w:cs="Calibri"/>
        </w:rPr>
        <w:lastRenderedPageBreak/>
        <w:t>EJA</w:t>
      </w:r>
      <w:r w:rsidR="00BE056E">
        <w:rPr>
          <w:rFonts w:eastAsia="Times New Roman" w:cs="Calibri"/>
        </w:rPr>
        <w:t>, our community legal centre members,</w:t>
      </w:r>
      <w:r>
        <w:rPr>
          <w:rFonts w:eastAsia="Times New Roman" w:cs="Calibri"/>
        </w:rPr>
        <w:t xml:space="preserve"> and First Nations community peak organisations have highlighted these issues in consultations and in response to inquiries </w:t>
      </w:r>
      <w:r w:rsidR="00BE056E">
        <w:rPr>
          <w:rFonts w:eastAsia="Times New Roman" w:cs="Calibri"/>
        </w:rPr>
        <w:t>over many years</w:t>
      </w:r>
      <w:r>
        <w:rPr>
          <w:rFonts w:eastAsia="Times New Roman" w:cs="Calibri"/>
        </w:rPr>
        <w:t xml:space="preserve">; however, while there are efforts to address some of the systemic access barriers via </w:t>
      </w:r>
      <w:r w:rsidR="00BE056E">
        <w:rPr>
          <w:rFonts w:eastAsia="Times New Roman" w:cs="Calibri"/>
        </w:rPr>
        <w:t xml:space="preserve">policy guidelines, </w:t>
      </w:r>
      <w:r>
        <w:rPr>
          <w:rFonts w:eastAsia="Times New Roman" w:cs="Calibri"/>
        </w:rPr>
        <w:t xml:space="preserve">resource development and targeted </w:t>
      </w:r>
      <w:r w:rsidR="005B7913">
        <w:rPr>
          <w:rFonts w:eastAsia="Times New Roman" w:cs="Calibri"/>
        </w:rPr>
        <w:t>outreach</w:t>
      </w:r>
      <w:r>
        <w:rPr>
          <w:rFonts w:eastAsia="Times New Roman" w:cs="Calibri"/>
        </w:rPr>
        <w:t xml:space="preserve">, these deep-seated issues </w:t>
      </w:r>
      <w:r w:rsidR="00BE056E">
        <w:rPr>
          <w:rFonts w:eastAsia="Times New Roman" w:cs="Calibri"/>
        </w:rPr>
        <w:t>persist</w:t>
      </w:r>
      <w:r>
        <w:rPr>
          <w:rFonts w:eastAsia="Times New Roman" w:cs="Calibri"/>
        </w:rPr>
        <w:t>.</w:t>
      </w:r>
    </w:p>
    <w:p w14:paraId="453DA9F4" w14:textId="77777777" w:rsidR="005066D2" w:rsidRDefault="005066D2" w:rsidP="005066D2">
      <w:pPr>
        <w:pStyle w:val="ListParagraph"/>
        <w:spacing w:after="240" w:line="240" w:lineRule="auto"/>
        <w:rPr>
          <w:rFonts w:eastAsia="Times New Roman" w:cs="Calibri"/>
        </w:rPr>
      </w:pPr>
    </w:p>
    <w:p w14:paraId="57436459" w14:textId="01404AF0" w:rsidR="00C10780" w:rsidRPr="00C10780" w:rsidRDefault="00C10780" w:rsidP="006618DF">
      <w:pPr>
        <w:pStyle w:val="ListParagraph"/>
        <w:numPr>
          <w:ilvl w:val="0"/>
          <w:numId w:val="11"/>
        </w:numPr>
        <w:spacing w:after="240" w:line="240" w:lineRule="auto"/>
        <w:rPr>
          <w:rFonts w:eastAsia="Times New Roman" w:cs="Calibri"/>
        </w:rPr>
      </w:pPr>
      <w:r>
        <w:rPr>
          <w:rFonts w:eastAsia="Times New Roman" w:cs="Calibri"/>
        </w:rPr>
        <w:t xml:space="preserve">The voices of the communities beset by these fundamental social security issues, along with a plethora of </w:t>
      </w:r>
      <w:r w:rsidR="005066D2">
        <w:rPr>
          <w:rFonts w:eastAsia="Times New Roman" w:cs="Calibri"/>
        </w:rPr>
        <w:t>interconnected health</w:t>
      </w:r>
      <w:r>
        <w:rPr>
          <w:rFonts w:eastAsia="Times New Roman" w:cs="Calibri"/>
        </w:rPr>
        <w:t xml:space="preserve">, housing and access to justice issues need a platform at the national level – so that </w:t>
      </w:r>
      <w:r w:rsidR="005066D2">
        <w:rPr>
          <w:rFonts w:eastAsia="Times New Roman" w:cs="Calibri"/>
        </w:rPr>
        <w:t>Government</w:t>
      </w:r>
      <w:r>
        <w:rPr>
          <w:rFonts w:eastAsia="Times New Roman" w:cs="Calibri"/>
        </w:rPr>
        <w:t xml:space="preserve"> and Parliament may hear directly from communities regarding the </w:t>
      </w:r>
      <w:r w:rsidR="00BE056E">
        <w:rPr>
          <w:rFonts w:eastAsia="Times New Roman" w:cs="Calibri"/>
        </w:rPr>
        <w:t xml:space="preserve">manifold </w:t>
      </w:r>
      <w:r>
        <w:rPr>
          <w:rFonts w:eastAsia="Times New Roman" w:cs="Calibri"/>
        </w:rPr>
        <w:t xml:space="preserve">impacts of </w:t>
      </w:r>
      <w:r w:rsidR="005066D2">
        <w:rPr>
          <w:rFonts w:eastAsia="Times New Roman" w:cs="Calibri"/>
        </w:rPr>
        <w:t>particular</w:t>
      </w:r>
      <w:r>
        <w:rPr>
          <w:rFonts w:eastAsia="Times New Roman" w:cs="Calibri"/>
        </w:rPr>
        <w:t xml:space="preserve"> social security </w:t>
      </w:r>
      <w:r w:rsidR="005066D2">
        <w:rPr>
          <w:rFonts w:eastAsia="Times New Roman" w:cs="Calibri"/>
        </w:rPr>
        <w:t>measures</w:t>
      </w:r>
      <w:r w:rsidR="00BA5E1D">
        <w:rPr>
          <w:rFonts w:eastAsia="Times New Roman" w:cs="Calibri"/>
        </w:rPr>
        <w:t xml:space="preserve">. </w:t>
      </w:r>
      <w:r w:rsidR="005066D2">
        <w:rPr>
          <w:rFonts w:eastAsia="Times New Roman" w:cs="Calibri"/>
        </w:rPr>
        <w:t xml:space="preserve">The National Voice would certainly empower First Nations people to raise </w:t>
      </w:r>
      <w:r w:rsidR="00BA5E1D">
        <w:rPr>
          <w:rFonts w:eastAsia="Times New Roman" w:cs="Calibri"/>
        </w:rPr>
        <w:t xml:space="preserve">social security </w:t>
      </w:r>
      <w:r w:rsidR="005066D2">
        <w:rPr>
          <w:rFonts w:eastAsia="Times New Roman" w:cs="Calibri"/>
        </w:rPr>
        <w:t>economic justice issues at the national level.</w:t>
      </w:r>
    </w:p>
    <w:p w14:paraId="1CED0B9F" w14:textId="77777777" w:rsidR="0071303F" w:rsidRDefault="0071303F" w:rsidP="0071303F">
      <w:pPr>
        <w:pStyle w:val="ListParagraph"/>
        <w:spacing w:after="240" w:line="240" w:lineRule="auto"/>
        <w:rPr>
          <w:rFonts w:eastAsia="Times New Roman" w:cs="Calibri"/>
        </w:rPr>
      </w:pPr>
    </w:p>
    <w:p w14:paraId="0C5906E6" w14:textId="77777777" w:rsidR="00E242FC" w:rsidRPr="00E242FC" w:rsidRDefault="00E242FC" w:rsidP="00E242FC">
      <w:pPr>
        <w:spacing w:after="240"/>
        <w:rPr>
          <w:rFonts w:cs="Arial"/>
          <w:b/>
          <w:bCs w:val="0"/>
        </w:rPr>
      </w:pPr>
      <w:r w:rsidRPr="00E242FC">
        <w:rPr>
          <w:rFonts w:cs="Arial"/>
          <w:b/>
          <w:bCs w:val="0"/>
        </w:rPr>
        <w:t xml:space="preserve">Contact for this submission </w:t>
      </w:r>
    </w:p>
    <w:p w14:paraId="4E6A6D69" w14:textId="77777777" w:rsidR="00E242FC" w:rsidRPr="00E242FC" w:rsidRDefault="00E242FC" w:rsidP="00E242FC">
      <w:pPr>
        <w:rPr>
          <w:rFonts w:cs="Arial"/>
          <w:bCs w:val="0"/>
        </w:rPr>
      </w:pPr>
      <w:r w:rsidRPr="00E242FC">
        <w:rPr>
          <w:rFonts w:cs="Arial"/>
          <w:bCs w:val="0"/>
        </w:rPr>
        <w:t>Linda Forbes</w:t>
      </w:r>
    </w:p>
    <w:p w14:paraId="63F43666" w14:textId="77777777" w:rsidR="00E242FC" w:rsidRPr="00E242FC" w:rsidRDefault="00E242FC" w:rsidP="00E242FC">
      <w:pPr>
        <w:rPr>
          <w:rFonts w:cs="Arial"/>
          <w:bCs w:val="0"/>
        </w:rPr>
      </w:pPr>
      <w:r w:rsidRPr="00E242FC">
        <w:rPr>
          <w:rFonts w:cs="Arial"/>
          <w:bCs w:val="0"/>
        </w:rPr>
        <w:t xml:space="preserve">Law Reform, Policy and Communications Officer, </w:t>
      </w:r>
    </w:p>
    <w:p w14:paraId="2AD7DE6B" w14:textId="77777777" w:rsidR="00E242FC" w:rsidRPr="00E242FC" w:rsidRDefault="00E242FC" w:rsidP="00E242FC">
      <w:pPr>
        <w:rPr>
          <w:rFonts w:cs="Arial"/>
          <w:bCs w:val="0"/>
        </w:rPr>
      </w:pPr>
      <w:r w:rsidRPr="00E242FC">
        <w:rPr>
          <w:rFonts w:cs="Arial"/>
          <w:bCs w:val="0"/>
        </w:rPr>
        <w:t>Economic Justice Australia</w:t>
      </w:r>
    </w:p>
    <w:p w14:paraId="367C6FE9" w14:textId="77777777" w:rsidR="00E242FC" w:rsidRPr="00E242FC" w:rsidRDefault="00E242FC" w:rsidP="00E242FC">
      <w:pPr>
        <w:rPr>
          <w:rFonts w:cs="Arial"/>
          <w:bCs w:val="0"/>
        </w:rPr>
      </w:pPr>
      <w:r w:rsidRPr="00E242FC">
        <w:rPr>
          <w:rFonts w:cs="Arial"/>
          <w:bCs w:val="0"/>
        </w:rPr>
        <w:t>Suite 321/410 Elizabeth Street,</w:t>
      </w:r>
    </w:p>
    <w:p w14:paraId="5EDE0A98" w14:textId="77777777" w:rsidR="00E242FC" w:rsidRPr="00E242FC" w:rsidRDefault="00E242FC" w:rsidP="00E242FC">
      <w:pPr>
        <w:rPr>
          <w:rFonts w:cs="Arial"/>
          <w:bCs w:val="0"/>
        </w:rPr>
      </w:pPr>
      <w:r w:rsidRPr="00E242FC">
        <w:rPr>
          <w:rFonts w:cs="Arial"/>
          <w:bCs w:val="0"/>
        </w:rPr>
        <w:t>Surry Hills NSW 2010</w:t>
      </w:r>
    </w:p>
    <w:p w14:paraId="074957F7" w14:textId="77777777" w:rsidR="00E242FC" w:rsidRPr="00E242FC" w:rsidRDefault="00E242FC" w:rsidP="00E242FC">
      <w:pPr>
        <w:rPr>
          <w:rFonts w:cs="Arial"/>
          <w:bCs w:val="0"/>
        </w:rPr>
      </w:pPr>
      <w:r w:rsidRPr="00E242FC">
        <w:rPr>
          <w:rFonts w:cs="Arial"/>
          <w:bCs w:val="0"/>
        </w:rPr>
        <w:t>Tel: +61 448 007 428</w:t>
      </w:r>
    </w:p>
    <w:p w14:paraId="23C0640B" w14:textId="77777777" w:rsidR="00E242FC" w:rsidRPr="00E242FC" w:rsidRDefault="00E242FC" w:rsidP="00E242FC">
      <w:pPr>
        <w:rPr>
          <w:rFonts w:cs="Arial"/>
          <w:bCs w:val="0"/>
        </w:rPr>
      </w:pPr>
    </w:p>
    <w:p w14:paraId="26CAAE26" w14:textId="77777777" w:rsidR="00E242FC" w:rsidRPr="00E242FC" w:rsidRDefault="00E242FC" w:rsidP="00E242FC">
      <w:pPr>
        <w:rPr>
          <w:rFonts w:cs="Arial"/>
          <w:bCs w:val="0"/>
        </w:rPr>
      </w:pPr>
      <w:r w:rsidRPr="00E242FC">
        <w:rPr>
          <w:rFonts w:cs="Arial"/>
          <w:bCs w:val="0"/>
        </w:rPr>
        <w:t>Website: www.ejaustralia.org.au</w:t>
      </w:r>
    </w:p>
    <w:p w14:paraId="3688FE15" w14:textId="77777777" w:rsidR="00982A06" w:rsidRPr="008449C7" w:rsidRDefault="00982A06" w:rsidP="00982A06"/>
    <w:sectPr w:rsidR="00982A06" w:rsidRPr="008449C7" w:rsidSect="008449C7">
      <w:headerReference w:type="even" r:id="rId12"/>
      <w:headerReference w:type="default" r:id="rId13"/>
      <w:footerReference w:type="even" r:id="rId14"/>
      <w:footerReference w:type="default" r:id="rId15"/>
      <w:headerReference w:type="first" r:id="rId16"/>
      <w:footerReference w:type="first" r:id="rId17"/>
      <w:pgSz w:w="11906" w:h="16838"/>
      <w:pgMar w:top="234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4CE6E" w14:textId="77777777" w:rsidR="00DF0A75" w:rsidRDefault="00DF0A75" w:rsidP="008449C7">
      <w:r>
        <w:separator/>
      </w:r>
    </w:p>
  </w:endnote>
  <w:endnote w:type="continuationSeparator" w:id="0">
    <w:p w14:paraId="4E4FB1FF" w14:textId="77777777" w:rsidR="00DF0A75" w:rsidRDefault="00DF0A75" w:rsidP="0084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rlow">
    <w:panose1 w:val="00000800000000000000"/>
    <w:charset w:val="00"/>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BCD1" w14:textId="77777777" w:rsidR="0036050E" w:rsidRDefault="00360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D632" w14:textId="77777777" w:rsidR="00774FEF" w:rsidRPr="00774FEF" w:rsidRDefault="00774FEF" w:rsidP="00774FEF">
    <w:pPr>
      <w:pStyle w:val="Footer"/>
      <w:jc w:val="center"/>
      <w:rPr>
        <w:sz w:val="18"/>
      </w:rPr>
    </w:pPr>
    <w:r w:rsidRPr="00774FEF">
      <w:rPr>
        <w:sz w:val="18"/>
      </w:rPr>
      <w:t xml:space="preserve">Suite 321, 410 Elizabeth St, Surry Hills </w:t>
    </w:r>
    <w:r>
      <w:rPr>
        <w:sz w:val="18"/>
      </w:rPr>
      <w:t xml:space="preserve"> </w:t>
    </w:r>
    <w:r w:rsidRPr="00774FEF">
      <w:rPr>
        <w:sz w:val="18"/>
      </w:rPr>
      <w:t xml:space="preserve"> </w:t>
    </w:r>
    <w:r w:rsidRPr="00774FEF">
      <w:rPr>
        <w:b/>
        <w:color w:val="324372"/>
        <w:sz w:val="18"/>
      </w:rPr>
      <w:t>P</w:t>
    </w:r>
    <w:r w:rsidRPr="00774FEF">
      <w:rPr>
        <w:sz w:val="18"/>
      </w:rPr>
      <w:t xml:space="preserve"> 0448007201 </w:t>
    </w:r>
    <w:r>
      <w:rPr>
        <w:sz w:val="18"/>
      </w:rPr>
      <w:t xml:space="preserve"> </w:t>
    </w:r>
    <w:r w:rsidRPr="00774FEF">
      <w:rPr>
        <w:sz w:val="18"/>
      </w:rPr>
      <w:t xml:space="preserve"> </w:t>
    </w:r>
    <w:r w:rsidRPr="00774FEF">
      <w:rPr>
        <w:b/>
        <w:color w:val="324372"/>
        <w:sz w:val="18"/>
      </w:rPr>
      <w:t>E</w:t>
    </w:r>
    <w:r w:rsidRPr="00774FEF">
      <w:rPr>
        <w:sz w:val="18"/>
      </w:rPr>
      <w:t xml:space="preserve"> eo@ejaustralia.org.au  </w:t>
    </w:r>
    <w:r>
      <w:rPr>
        <w:sz w:val="18"/>
      </w:rPr>
      <w:t xml:space="preserve"> </w:t>
    </w:r>
    <w:r w:rsidRPr="00774FEF">
      <w:rPr>
        <w:b/>
        <w:color w:val="324372"/>
        <w:sz w:val="18"/>
      </w:rPr>
      <w:t>W</w:t>
    </w:r>
    <w:r w:rsidRPr="00774FEF">
      <w:rPr>
        <w:sz w:val="18"/>
      </w:rPr>
      <w:t xml:space="preserve"> ejaustralia.org.au  </w:t>
    </w:r>
    <w:r>
      <w:rPr>
        <w:sz w:val="18"/>
      </w:rPr>
      <w:t xml:space="preserve"> </w:t>
    </w:r>
    <w:r w:rsidRPr="00774FEF">
      <w:rPr>
        <w:b/>
        <w:color w:val="324372"/>
        <w:sz w:val="18"/>
      </w:rPr>
      <w:t>ABN</w:t>
    </w:r>
    <w:r w:rsidRPr="00774FEF">
      <w:rPr>
        <w:sz w:val="18"/>
      </w:rPr>
      <w:t xml:space="preserve"> 13789701030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A01C" w14:textId="77777777" w:rsidR="0036050E" w:rsidRDefault="00360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7BC0" w14:textId="77777777" w:rsidR="00DF0A75" w:rsidRDefault="00DF0A75" w:rsidP="008449C7">
      <w:r>
        <w:separator/>
      </w:r>
    </w:p>
  </w:footnote>
  <w:footnote w:type="continuationSeparator" w:id="0">
    <w:p w14:paraId="010CE8B8" w14:textId="77777777" w:rsidR="00DF0A75" w:rsidRDefault="00DF0A75" w:rsidP="008449C7">
      <w:r>
        <w:continuationSeparator/>
      </w:r>
    </w:p>
  </w:footnote>
  <w:footnote w:id="1">
    <w:p w14:paraId="03FC35AD" w14:textId="77777777" w:rsidR="00E75783" w:rsidRDefault="00E75783" w:rsidP="00E75783">
      <w:pPr>
        <w:pStyle w:val="FootnoteText"/>
        <w:rPr>
          <w:rFonts w:ascii="Arial" w:hAnsi="Arial"/>
          <w:lang w:val="en-US"/>
        </w:rPr>
      </w:pPr>
      <w:r>
        <w:rPr>
          <w:rStyle w:val="FootnoteReference"/>
          <w:rFonts w:eastAsia="MS Mincho"/>
        </w:rPr>
        <w:footnoteRef/>
      </w:r>
      <w:r>
        <w:t xml:space="preserve">  U</w:t>
      </w:r>
      <w:r>
        <w:rPr>
          <w:rFonts w:cs="Calibri"/>
        </w:rPr>
        <w:t>nited Nations Committee on the Elimination of Racial Discrimination.</w:t>
      </w:r>
      <w:r>
        <w:t xml:space="preserve"> </w:t>
      </w:r>
      <w:r>
        <w:rPr>
          <w:rFonts w:cs="Calibri"/>
        </w:rPr>
        <w:t xml:space="preserve">Concluding Observations on the eighteenth to twentieth periodic reports of Australia [23] </w:t>
      </w:r>
      <w:hyperlink r:id="rId1" w:history="1">
        <w:r>
          <w:rPr>
            <w:rStyle w:val="Hyperlink"/>
            <w:rFonts w:cs="Calibri"/>
          </w:rPr>
          <w:t>https://tbinternet.ohchr.org/Treaties/CERD/Shared%20Documents/AUS/CERD_C_AUS_CO_18-20_29700_E.pdf</w:t>
        </w:r>
      </w:hyperlink>
      <w:r>
        <w:rPr>
          <w:rFonts w:cs="Calibri"/>
        </w:rPr>
        <w:t xml:space="preserve">   </w:t>
      </w:r>
    </w:p>
  </w:footnote>
  <w:footnote w:id="2">
    <w:p w14:paraId="7DA3E4C4" w14:textId="77777777" w:rsidR="00E75783" w:rsidRDefault="00E75783" w:rsidP="00E75783">
      <w:pPr>
        <w:pStyle w:val="FootnoteText"/>
        <w:rPr>
          <w:lang w:val="en-US"/>
        </w:rPr>
      </w:pPr>
      <w:r>
        <w:rPr>
          <w:rStyle w:val="FootnoteReference"/>
          <w:rFonts w:eastAsia="MS Mincho"/>
        </w:rPr>
        <w:footnoteRef/>
      </w:r>
      <w:r>
        <w:t xml:space="preserve"> </w:t>
      </w:r>
      <w:r>
        <w:rPr>
          <w:rFonts w:cs="Calibri"/>
        </w:rPr>
        <w:t xml:space="preserve">Concluding Observations on the eighteenth to twentieth periodic reports of Australia [24] </w:t>
      </w:r>
      <w:hyperlink r:id="rId2" w:history="1">
        <w:r>
          <w:rPr>
            <w:rStyle w:val="Hyperlink"/>
            <w:rFonts w:cs="Calibri"/>
          </w:rPr>
          <w:t>https://tbinternet.ohchr.org/Treaties/CERD/Shared%20Documents/AUS/CERD_C_AUS_CO_18-20_29700_E.pdf</w:t>
        </w:r>
      </w:hyperlink>
      <w:r>
        <w:rPr>
          <w:rFonts w:cs="Calibri"/>
        </w:rPr>
        <w:t xml:space="preserve">  </w:t>
      </w:r>
    </w:p>
  </w:footnote>
  <w:footnote w:id="3">
    <w:p w14:paraId="613570A5" w14:textId="77777777" w:rsidR="00694453" w:rsidRDefault="00694453" w:rsidP="00694453">
      <w:pPr>
        <w:pStyle w:val="FootnoteText"/>
        <w:rPr>
          <w:lang w:val="en-US"/>
        </w:rPr>
      </w:pPr>
      <w:r>
        <w:rPr>
          <w:rStyle w:val="FootnoteReference"/>
          <w:rFonts w:eastAsia="MS Mincho"/>
        </w:rPr>
        <w:footnoteRef/>
      </w:r>
      <w:r>
        <w:t xml:space="preserve"> </w:t>
      </w:r>
      <w:hyperlink r:id="rId3" w:history="1">
        <w:r>
          <w:rPr>
            <w:rStyle w:val="Hyperlink"/>
          </w:rPr>
          <w:t>http://www.amsant.org.au/apont/apo-nt-call-on-mps-to-oppose-the-cashless-debit-card-expansion-bill/</w:t>
        </w:r>
      </w:hyperlink>
      <w:r>
        <w:t xml:space="preserve"> </w:t>
      </w:r>
    </w:p>
  </w:footnote>
  <w:footnote w:id="4">
    <w:p w14:paraId="5A2F62A6" w14:textId="77777777" w:rsidR="00694453" w:rsidRDefault="00694453" w:rsidP="00694453">
      <w:pPr>
        <w:pStyle w:val="FootnoteText"/>
        <w:rPr>
          <w:lang w:val="en-US"/>
        </w:rPr>
      </w:pPr>
      <w:r>
        <w:rPr>
          <w:rStyle w:val="FootnoteReference"/>
          <w:rFonts w:eastAsia="MS Mincho"/>
        </w:rPr>
        <w:footnoteRef/>
      </w:r>
      <w:r>
        <w:t xml:space="preserve"> Goulbourn Valley Community Legal Centre Pilot (GVCLCP) (2012) Shepparton Income Management Survey Report. GVCLCP: Bendigo; Mendes, P., Waugh, J., and Flynn, C. (2014) ‘Income Management in Australia: A Critical Examination of the Evidence’. International Journal of Social Welfare 23(4): 362-372.</w:t>
      </w:r>
    </w:p>
  </w:footnote>
  <w:footnote w:id="5">
    <w:p w14:paraId="66E86C0B" w14:textId="77777777" w:rsidR="00694453" w:rsidRDefault="00694453" w:rsidP="00694453">
      <w:pPr>
        <w:pStyle w:val="FootnoteText"/>
        <w:rPr>
          <w:lang w:val="en-US"/>
        </w:rPr>
      </w:pPr>
      <w:r>
        <w:rPr>
          <w:rStyle w:val="FootnoteReference"/>
          <w:rFonts w:eastAsia="MS Mincho"/>
        </w:rPr>
        <w:footnoteRef/>
      </w:r>
      <w:r>
        <w:t xml:space="preserve"> s124PC Social Security Administration Act, as proposed</w:t>
      </w:r>
    </w:p>
  </w:footnote>
  <w:footnote w:id="6">
    <w:p w14:paraId="7D85D7DB" w14:textId="77777777" w:rsidR="00694453" w:rsidRDefault="00694453" w:rsidP="00694453">
      <w:pPr>
        <w:pStyle w:val="FootnoteText"/>
        <w:rPr>
          <w:lang w:val="en-US"/>
        </w:rPr>
      </w:pPr>
      <w:r>
        <w:rPr>
          <w:rStyle w:val="FootnoteReference"/>
          <w:rFonts w:eastAsia="MS Mincho"/>
        </w:rPr>
        <w:footnoteRef/>
      </w:r>
      <w:r>
        <w:t xml:space="preserve"> Prawitza, A. and Cohartb, J. (2016) ‘Financial Management Competency, Financial Resources, Locus of Control and Financial Wellness’. Journal of Financial Counselling and Planning 27(2): 142-157</w:t>
      </w:r>
    </w:p>
  </w:footnote>
  <w:footnote w:id="7">
    <w:p w14:paraId="12B6E20D" w14:textId="77777777" w:rsidR="00694453" w:rsidRDefault="00694453" w:rsidP="00694453">
      <w:pPr>
        <w:pStyle w:val="FootnoteText"/>
        <w:rPr>
          <w:lang w:val="en-US"/>
        </w:rPr>
      </w:pPr>
      <w:r>
        <w:rPr>
          <w:rStyle w:val="FootnoteReference"/>
          <w:rFonts w:eastAsia="MS Mincho"/>
        </w:rPr>
        <w:footnoteRef/>
      </w:r>
      <w:r>
        <w:t xml:space="preserve"> </w:t>
      </w:r>
      <w:r>
        <w:rPr>
          <w:lang w:val="en-US"/>
        </w:rPr>
        <w:t>Hidden Costs: An Independent Study into Income Management in Australia. Op cit. p 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B665" w14:textId="0AE54A36" w:rsidR="0036050E" w:rsidRDefault="00360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52E6" w14:textId="195CA4EE" w:rsidR="008449C7" w:rsidRDefault="00546133" w:rsidP="00546133">
    <w:pPr>
      <w:pStyle w:val="Header"/>
      <w:tabs>
        <w:tab w:val="left" w:pos="2257"/>
        <w:tab w:val="right" w:pos="7311"/>
      </w:tabs>
    </w:pPr>
    <w:r>
      <w:tab/>
    </w:r>
    <w:r>
      <w:tab/>
    </w:r>
    <w:r>
      <w:tab/>
    </w:r>
    <w:r w:rsidR="0005296B" w:rsidRPr="00AC2A8B">
      <w:rPr>
        <w:noProof/>
        <w:lang w:val="en-US" w:eastAsia="en-US"/>
      </w:rPr>
      <w:drawing>
        <wp:anchor distT="0" distB="0" distL="114300" distR="114300" simplePos="0" relativeHeight="251657215" behindDoc="1" locked="0" layoutInCell="1" allowOverlap="1" wp14:anchorId="005D9692" wp14:editId="2166179D">
          <wp:simplePos x="0" y="0"/>
          <wp:positionH relativeFrom="column">
            <wp:posOffset>-726440</wp:posOffset>
          </wp:positionH>
          <wp:positionV relativeFrom="paragraph">
            <wp:posOffset>-456565</wp:posOffset>
          </wp:positionV>
          <wp:extent cx="7624800" cy="1274400"/>
          <wp:effectExtent l="0" t="0" r="0" b="2540"/>
          <wp:wrapThrough wrapText="bothSides">
            <wp:wrapPolygon edited="0">
              <wp:start x="0" y="0"/>
              <wp:lineTo x="0" y="21320"/>
              <wp:lineTo x="21533" y="21320"/>
              <wp:lineTo x="21533"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800" cy="1274400"/>
                  </a:xfrm>
                  <a:prstGeom prst="rect">
                    <a:avLst/>
                  </a:prstGeom>
                </pic:spPr>
              </pic:pic>
            </a:graphicData>
          </a:graphic>
          <wp14:sizeRelH relativeFrom="page">
            <wp14:pctWidth>0</wp14:pctWidth>
          </wp14:sizeRelH>
          <wp14:sizeRelV relativeFrom="page">
            <wp14:pctHeight>0</wp14:pctHeight>
          </wp14:sizeRelV>
        </wp:anchor>
      </w:drawing>
    </w:r>
    <w:r w:rsidR="00B166CC" w:rsidRPr="004D2A54">
      <w:rPr>
        <w:noProof/>
        <w:lang w:val="en-US" w:eastAsia="en-US"/>
      </w:rPr>
      <w:drawing>
        <wp:anchor distT="0" distB="0" distL="114300" distR="114300" simplePos="0" relativeHeight="251658240" behindDoc="0" locked="0" layoutInCell="1" allowOverlap="1" wp14:anchorId="64A49AD5" wp14:editId="19D4B978">
          <wp:simplePos x="0" y="0"/>
          <wp:positionH relativeFrom="column">
            <wp:posOffset>4756785</wp:posOffset>
          </wp:positionH>
          <wp:positionV relativeFrom="page">
            <wp:posOffset>266700</wp:posOffset>
          </wp:positionV>
          <wp:extent cx="1626870" cy="813435"/>
          <wp:effectExtent l="0" t="0" r="0" b="0"/>
          <wp:wrapSquare wrapText="bothSides"/>
          <wp:docPr id="4" name="Picture 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6870" cy="8134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F8DE" w14:textId="1FC2AFF7" w:rsidR="0036050E" w:rsidRDefault="00360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06B"/>
    <w:multiLevelType w:val="hybridMultilevel"/>
    <w:tmpl w:val="95BCC07E"/>
    <w:lvl w:ilvl="0" w:tplc="9D52FCA2">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1D2481"/>
    <w:multiLevelType w:val="hybridMultilevel"/>
    <w:tmpl w:val="424601B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0A6F67"/>
    <w:multiLevelType w:val="hybridMultilevel"/>
    <w:tmpl w:val="84F885C6"/>
    <w:lvl w:ilvl="0" w:tplc="0C09000F">
      <w:start w:val="1"/>
      <w:numFmt w:val="decimal"/>
      <w:lvlText w:val="%1."/>
      <w:lvlJc w:val="left"/>
      <w:pPr>
        <w:ind w:left="720" w:hanging="360"/>
      </w:pPr>
    </w:lvl>
    <w:lvl w:ilvl="1" w:tplc="AE5231D0">
      <w:start w:val="1"/>
      <w:numFmt w:val="upperRoman"/>
      <w:lvlText w:val="%2."/>
      <w:lvlJc w:val="left"/>
      <w:pPr>
        <w:ind w:left="1800" w:hanging="720"/>
      </w:pPr>
    </w:lvl>
    <w:lvl w:ilvl="2" w:tplc="A528945E">
      <w:start w:val="1"/>
      <w:numFmt w:val="lowerLetter"/>
      <w:lvlText w:val="%3)"/>
      <w:lvlJc w:val="left"/>
      <w:pPr>
        <w:ind w:left="2340" w:hanging="360"/>
      </w:pPr>
    </w:lvl>
    <w:lvl w:ilvl="3" w:tplc="71648C88">
      <w:start w:val="1"/>
      <w:numFmt w:val="lowerRoman"/>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F666E28"/>
    <w:multiLevelType w:val="hybridMultilevel"/>
    <w:tmpl w:val="27180ADC"/>
    <w:lvl w:ilvl="0" w:tplc="0C09000F">
      <w:start w:val="1"/>
      <w:numFmt w:val="decimal"/>
      <w:lvlText w:val="%1."/>
      <w:lvlJc w:val="left"/>
      <w:pPr>
        <w:ind w:left="720" w:hanging="360"/>
      </w:pPr>
    </w:lvl>
    <w:lvl w:ilvl="1" w:tplc="AE5231D0">
      <w:start w:val="1"/>
      <w:numFmt w:val="upperRoman"/>
      <w:lvlText w:val="%2."/>
      <w:lvlJc w:val="left"/>
      <w:pPr>
        <w:ind w:left="1800" w:hanging="720"/>
      </w:pPr>
    </w:lvl>
    <w:lvl w:ilvl="2" w:tplc="A528945E">
      <w:start w:val="1"/>
      <w:numFmt w:val="lowerLetter"/>
      <w:lvlText w:val="%3)"/>
      <w:lvlJc w:val="left"/>
      <w:pPr>
        <w:ind w:left="2340" w:hanging="360"/>
      </w:pPr>
    </w:lvl>
    <w:lvl w:ilvl="3" w:tplc="71648C88">
      <w:start w:val="1"/>
      <w:numFmt w:val="lowerRoman"/>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F82115D"/>
    <w:multiLevelType w:val="hybridMultilevel"/>
    <w:tmpl w:val="C374DA48"/>
    <w:lvl w:ilvl="0" w:tplc="B95A5210">
      <w:start w:val="31"/>
      <w:numFmt w:val="bullet"/>
      <w:lvlText w:val="-"/>
      <w:lvlJc w:val="left"/>
      <w:pPr>
        <w:ind w:left="1080" w:hanging="360"/>
      </w:pPr>
      <w:rPr>
        <w:rFonts w:ascii="Barlow" w:eastAsia="Times New Roman" w:hAnsi="Barlow"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65398B"/>
    <w:multiLevelType w:val="hybridMultilevel"/>
    <w:tmpl w:val="A7F2596C"/>
    <w:lvl w:ilvl="0" w:tplc="1CF688EE">
      <w:start w:val="4"/>
      <w:numFmt w:val="bullet"/>
      <w:lvlText w:val="-"/>
      <w:lvlJc w:val="left"/>
      <w:pPr>
        <w:ind w:left="1080" w:hanging="360"/>
      </w:pPr>
      <w:rPr>
        <w:rFonts w:ascii="Barlow" w:eastAsia="Times New Roman" w:hAnsi="Barlow"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95FDC"/>
    <w:multiLevelType w:val="hybridMultilevel"/>
    <w:tmpl w:val="6A24717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26D02FBC"/>
    <w:multiLevelType w:val="hybridMultilevel"/>
    <w:tmpl w:val="F2C4E93E"/>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8614F04"/>
    <w:multiLevelType w:val="hybridMultilevel"/>
    <w:tmpl w:val="17FA4A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9836F1"/>
    <w:multiLevelType w:val="hybridMultilevel"/>
    <w:tmpl w:val="F6C69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F77545"/>
    <w:multiLevelType w:val="hybridMultilevel"/>
    <w:tmpl w:val="311AF97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A1A30CD"/>
    <w:multiLevelType w:val="hybridMultilevel"/>
    <w:tmpl w:val="D3DC5B60"/>
    <w:lvl w:ilvl="0" w:tplc="9D52FCA2">
      <w:start w:val="1"/>
      <w:numFmt w:val="decimal"/>
      <w:lvlText w:val="%1."/>
      <w:lvlJc w:val="left"/>
      <w:pPr>
        <w:ind w:left="36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15:restartNumberingAfterBreak="0">
    <w:nsid w:val="3CEB38D9"/>
    <w:multiLevelType w:val="hybridMultilevel"/>
    <w:tmpl w:val="326A7F6C"/>
    <w:lvl w:ilvl="0" w:tplc="9D52FCA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25A3C6E"/>
    <w:multiLevelType w:val="hybridMultilevel"/>
    <w:tmpl w:val="FC6A395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5A97282"/>
    <w:multiLevelType w:val="hybridMultilevel"/>
    <w:tmpl w:val="D45A1838"/>
    <w:lvl w:ilvl="0" w:tplc="0C09000F">
      <w:start w:val="1"/>
      <w:numFmt w:val="decimal"/>
      <w:lvlText w:val="%1."/>
      <w:lvlJc w:val="left"/>
      <w:pPr>
        <w:ind w:left="720" w:hanging="360"/>
      </w:pPr>
    </w:lvl>
    <w:lvl w:ilvl="1" w:tplc="AE5231D0">
      <w:start w:val="1"/>
      <w:numFmt w:val="upperRoman"/>
      <w:lvlText w:val="%2."/>
      <w:lvlJc w:val="left"/>
      <w:pPr>
        <w:ind w:left="1800" w:hanging="720"/>
      </w:pPr>
    </w:lvl>
    <w:lvl w:ilvl="2" w:tplc="A528945E">
      <w:start w:val="1"/>
      <w:numFmt w:val="lowerLetter"/>
      <w:lvlText w:val="%3)"/>
      <w:lvlJc w:val="left"/>
      <w:pPr>
        <w:ind w:left="2340" w:hanging="360"/>
      </w:pPr>
    </w:lvl>
    <w:lvl w:ilvl="3" w:tplc="71648C88">
      <w:start w:val="1"/>
      <w:numFmt w:val="lowerRoman"/>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5CC294A"/>
    <w:multiLevelType w:val="hybridMultilevel"/>
    <w:tmpl w:val="27180ADC"/>
    <w:lvl w:ilvl="0" w:tplc="0C09000F">
      <w:start w:val="1"/>
      <w:numFmt w:val="decimal"/>
      <w:lvlText w:val="%1."/>
      <w:lvlJc w:val="left"/>
      <w:pPr>
        <w:ind w:left="720" w:hanging="360"/>
      </w:pPr>
    </w:lvl>
    <w:lvl w:ilvl="1" w:tplc="AE5231D0">
      <w:start w:val="1"/>
      <w:numFmt w:val="upperRoman"/>
      <w:lvlText w:val="%2."/>
      <w:lvlJc w:val="left"/>
      <w:pPr>
        <w:ind w:left="1800" w:hanging="720"/>
      </w:pPr>
    </w:lvl>
    <w:lvl w:ilvl="2" w:tplc="A528945E">
      <w:start w:val="1"/>
      <w:numFmt w:val="lowerLetter"/>
      <w:lvlText w:val="%3)"/>
      <w:lvlJc w:val="left"/>
      <w:pPr>
        <w:ind w:left="2340" w:hanging="360"/>
      </w:pPr>
    </w:lvl>
    <w:lvl w:ilvl="3" w:tplc="71648C88">
      <w:start w:val="1"/>
      <w:numFmt w:val="lowerRoman"/>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A4E2948"/>
    <w:multiLevelType w:val="hybridMultilevel"/>
    <w:tmpl w:val="BF442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77885"/>
    <w:multiLevelType w:val="hybridMultilevel"/>
    <w:tmpl w:val="72884440"/>
    <w:lvl w:ilvl="0" w:tplc="02DAC162">
      <w:start w:val="15"/>
      <w:numFmt w:val="bullet"/>
      <w:lvlText w:val="-"/>
      <w:lvlJc w:val="left"/>
      <w:pPr>
        <w:ind w:left="1080" w:hanging="360"/>
      </w:pPr>
      <w:rPr>
        <w:rFonts w:ascii="Barlow" w:eastAsia="MS Mincho" w:hAnsi="Barlow"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D26A49"/>
    <w:multiLevelType w:val="hybridMultilevel"/>
    <w:tmpl w:val="65FE2EA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6E9814FD"/>
    <w:multiLevelType w:val="hybridMultilevel"/>
    <w:tmpl w:val="77C66618"/>
    <w:lvl w:ilvl="0" w:tplc="9D52FCA2">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1023702"/>
    <w:multiLevelType w:val="hybridMultilevel"/>
    <w:tmpl w:val="27180ADC"/>
    <w:lvl w:ilvl="0" w:tplc="0C09000F">
      <w:start w:val="1"/>
      <w:numFmt w:val="decimal"/>
      <w:lvlText w:val="%1."/>
      <w:lvlJc w:val="left"/>
      <w:pPr>
        <w:ind w:left="720" w:hanging="360"/>
      </w:pPr>
    </w:lvl>
    <w:lvl w:ilvl="1" w:tplc="AE5231D0">
      <w:start w:val="1"/>
      <w:numFmt w:val="upperRoman"/>
      <w:lvlText w:val="%2."/>
      <w:lvlJc w:val="left"/>
      <w:pPr>
        <w:ind w:left="1800" w:hanging="720"/>
      </w:pPr>
    </w:lvl>
    <w:lvl w:ilvl="2" w:tplc="A528945E">
      <w:start w:val="1"/>
      <w:numFmt w:val="lowerLetter"/>
      <w:lvlText w:val="%3)"/>
      <w:lvlJc w:val="left"/>
      <w:pPr>
        <w:ind w:left="2340" w:hanging="360"/>
      </w:pPr>
    </w:lvl>
    <w:lvl w:ilvl="3" w:tplc="71648C88">
      <w:start w:val="1"/>
      <w:numFmt w:val="lowerRoman"/>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8"/>
  </w:num>
  <w:num w:numId="2">
    <w:abstractNumId w:val="7"/>
  </w:num>
  <w:num w:numId="3">
    <w:abstractNumId w:val="19"/>
  </w:num>
  <w:num w:numId="4">
    <w:abstractNumId w:val="1"/>
  </w:num>
  <w:num w:numId="5">
    <w:abstractNumId w:val="10"/>
  </w:num>
  <w:num w:numId="6">
    <w:abstractNumId w:val="13"/>
  </w:num>
  <w:num w:numId="7">
    <w:abstractNumId w:val="16"/>
  </w:num>
  <w:num w:numId="8">
    <w:abstractNumId w:val="11"/>
  </w:num>
  <w:num w:numId="9">
    <w:abstractNumId w:val="0"/>
  </w:num>
  <w:num w:numId="10">
    <w:abstractNumId w:val="12"/>
  </w:num>
  <w:num w:numId="11">
    <w:abstractNumId w:val="20"/>
  </w:num>
  <w:num w:numId="12">
    <w:abstractNumId w:val="18"/>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5"/>
  </w:num>
  <w:num w:numId="18">
    <w:abstractNumId w:val="2"/>
  </w:num>
  <w:num w:numId="19">
    <w:abstractNumId w:val="3"/>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75"/>
    <w:rsid w:val="00043D79"/>
    <w:rsid w:val="0005296B"/>
    <w:rsid w:val="001634B4"/>
    <w:rsid w:val="0019618B"/>
    <w:rsid w:val="001D0E52"/>
    <w:rsid w:val="00281440"/>
    <w:rsid w:val="002A2D72"/>
    <w:rsid w:val="002A6D35"/>
    <w:rsid w:val="002D49AC"/>
    <w:rsid w:val="003179E3"/>
    <w:rsid w:val="0036050E"/>
    <w:rsid w:val="003F0A71"/>
    <w:rsid w:val="004D3474"/>
    <w:rsid w:val="005066D2"/>
    <w:rsid w:val="00546133"/>
    <w:rsid w:val="00596444"/>
    <w:rsid w:val="005B7913"/>
    <w:rsid w:val="005E418C"/>
    <w:rsid w:val="005E5E6F"/>
    <w:rsid w:val="006618DF"/>
    <w:rsid w:val="00694453"/>
    <w:rsid w:val="006D0F1B"/>
    <w:rsid w:val="0071303F"/>
    <w:rsid w:val="00774FEF"/>
    <w:rsid w:val="00797758"/>
    <w:rsid w:val="008449C7"/>
    <w:rsid w:val="00891B89"/>
    <w:rsid w:val="0089472E"/>
    <w:rsid w:val="008E39E1"/>
    <w:rsid w:val="00926FD7"/>
    <w:rsid w:val="00954D78"/>
    <w:rsid w:val="009815BC"/>
    <w:rsid w:val="00981AFE"/>
    <w:rsid w:val="00982A06"/>
    <w:rsid w:val="009D3400"/>
    <w:rsid w:val="009F47F5"/>
    <w:rsid w:val="00A71CC0"/>
    <w:rsid w:val="00A952ED"/>
    <w:rsid w:val="00B166CC"/>
    <w:rsid w:val="00B35690"/>
    <w:rsid w:val="00BA5E1D"/>
    <w:rsid w:val="00BE056E"/>
    <w:rsid w:val="00BE76EB"/>
    <w:rsid w:val="00BF222D"/>
    <w:rsid w:val="00C10780"/>
    <w:rsid w:val="00CB7E98"/>
    <w:rsid w:val="00DA43CB"/>
    <w:rsid w:val="00DF0A75"/>
    <w:rsid w:val="00E242FC"/>
    <w:rsid w:val="00E53808"/>
    <w:rsid w:val="00E75783"/>
    <w:rsid w:val="00EE0F58"/>
    <w:rsid w:val="00F47C46"/>
    <w:rsid w:val="00F53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252890"/>
  <w15:chartTrackingRefBased/>
  <w15:docId w15:val="{70D0675C-C474-45AD-B3A7-8D12E529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C7"/>
    <w:pPr>
      <w:spacing w:after="0" w:line="276" w:lineRule="auto"/>
    </w:pPr>
    <w:rPr>
      <w:rFonts w:ascii="Barlow" w:eastAsia="MS Mincho" w:hAnsi="Barlow" w:cstheme="minorHAnsi"/>
      <w:bCs/>
      <w:lang w:eastAsia="en-AU"/>
    </w:rPr>
  </w:style>
  <w:style w:type="paragraph" w:styleId="Heading1">
    <w:name w:val="heading 1"/>
    <w:aliases w:val="Subheading 1"/>
    <w:basedOn w:val="NormalWeb"/>
    <w:next w:val="Normal"/>
    <w:link w:val="Heading1Char"/>
    <w:uiPriority w:val="9"/>
    <w:qFormat/>
    <w:rsid w:val="00982A06"/>
    <w:pPr>
      <w:shd w:val="clear" w:color="auto" w:fill="FFFFFF"/>
      <w:spacing w:before="0" w:beforeAutospacing="0" w:after="0" w:afterAutospacing="0"/>
      <w:outlineLvl w:val="0"/>
    </w:pPr>
    <w:rPr>
      <w:rFonts w:ascii="Barlow" w:eastAsiaTheme="minorHAnsi" w:hAnsi="Barlow"/>
      <w:b/>
      <w:sz w:val="28"/>
      <w:szCs w:val="28"/>
      <w:lang w:eastAsia="en-US"/>
    </w:rPr>
  </w:style>
  <w:style w:type="paragraph" w:styleId="Heading2">
    <w:name w:val="heading 2"/>
    <w:aliases w:val="Numbered list"/>
    <w:basedOn w:val="ListParagraph"/>
    <w:next w:val="Normal"/>
    <w:link w:val="Heading2Char"/>
    <w:uiPriority w:val="9"/>
    <w:unhideWhenUsed/>
    <w:rsid w:val="008449C7"/>
    <w:pPr>
      <w:numPr>
        <w:numId w:val="9"/>
      </w:numPr>
      <w:outlineLvl w:val="1"/>
    </w:pPr>
  </w:style>
  <w:style w:type="paragraph" w:styleId="Heading3">
    <w:name w:val="heading 3"/>
    <w:basedOn w:val="Normal"/>
    <w:next w:val="Normal"/>
    <w:link w:val="Heading3Char"/>
    <w:uiPriority w:val="9"/>
    <w:unhideWhenUsed/>
    <w:qFormat/>
    <w:rsid w:val="00982A06"/>
    <w:pP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49C7"/>
    <w:rPr>
      <w:color w:val="0000FF"/>
      <w:u w:val="single"/>
    </w:rPr>
  </w:style>
  <w:style w:type="paragraph" w:styleId="ListParagraph">
    <w:name w:val="List Paragraph"/>
    <w:basedOn w:val="Normal"/>
    <w:uiPriority w:val="34"/>
    <w:qFormat/>
    <w:rsid w:val="008449C7"/>
    <w:pPr>
      <w:ind w:left="720"/>
      <w:contextualSpacing/>
    </w:pPr>
  </w:style>
  <w:style w:type="character" w:styleId="FootnoteReference">
    <w:name w:val="footnote reference"/>
    <w:uiPriority w:val="99"/>
    <w:qFormat/>
    <w:rsid w:val="008449C7"/>
    <w:rPr>
      <w:vertAlign w:val="superscript"/>
    </w:rPr>
  </w:style>
  <w:style w:type="paragraph" w:styleId="FootnoteText">
    <w:name w:val="footnote text"/>
    <w:basedOn w:val="Normal"/>
    <w:link w:val="FootnoteTextChar"/>
    <w:uiPriority w:val="99"/>
    <w:qFormat/>
    <w:rsid w:val="008449C7"/>
    <w:pPr>
      <w:tabs>
        <w:tab w:val="left" w:pos="360"/>
      </w:tabs>
      <w:ind w:left="357" w:hanging="357"/>
    </w:pPr>
    <w:rPr>
      <w:rFonts w:eastAsia="Times New Roman"/>
      <w:sz w:val="16"/>
    </w:rPr>
  </w:style>
  <w:style w:type="character" w:customStyle="1" w:styleId="FootnoteTextChar">
    <w:name w:val="Footnote Text Char"/>
    <w:basedOn w:val="DefaultParagraphFont"/>
    <w:link w:val="FootnoteText"/>
    <w:uiPriority w:val="99"/>
    <w:rsid w:val="008449C7"/>
    <w:rPr>
      <w:rFonts w:ascii="Arial" w:eastAsia="Times New Roman" w:hAnsi="Arial" w:cs="Times New Roman"/>
      <w:sz w:val="16"/>
      <w:szCs w:val="20"/>
      <w:lang w:eastAsia="en-AU"/>
    </w:rPr>
  </w:style>
  <w:style w:type="paragraph" w:styleId="NormalWeb">
    <w:name w:val="Normal (Web)"/>
    <w:basedOn w:val="Normal"/>
    <w:uiPriority w:val="99"/>
    <w:unhideWhenUsed/>
    <w:rsid w:val="008449C7"/>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449C7"/>
    <w:pPr>
      <w:tabs>
        <w:tab w:val="center" w:pos="4513"/>
        <w:tab w:val="right" w:pos="9026"/>
      </w:tabs>
    </w:pPr>
  </w:style>
  <w:style w:type="character" w:customStyle="1" w:styleId="HeaderChar">
    <w:name w:val="Header Char"/>
    <w:basedOn w:val="DefaultParagraphFont"/>
    <w:link w:val="Header"/>
    <w:uiPriority w:val="99"/>
    <w:rsid w:val="008449C7"/>
    <w:rPr>
      <w:rFonts w:ascii="Arial" w:eastAsia="MS Mincho" w:hAnsi="Arial" w:cs="Times New Roman"/>
      <w:sz w:val="20"/>
      <w:szCs w:val="20"/>
      <w:lang w:eastAsia="en-AU"/>
    </w:rPr>
  </w:style>
  <w:style w:type="paragraph" w:styleId="Footer">
    <w:name w:val="footer"/>
    <w:basedOn w:val="Normal"/>
    <w:link w:val="FooterChar"/>
    <w:uiPriority w:val="99"/>
    <w:unhideWhenUsed/>
    <w:rsid w:val="008449C7"/>
    <w:pPr>
      <w:tabs>
        <w:tab w:val="center" w:pos="4513"/>
        <w:tab w:val="right" w:pos="9026"/>
      </w:tabs>
    </w:pPr>
  </w:style>
  <w:style w:type="character" w:customStyle="1" w:styleId="FooterChar">
    <w:name w:val="Footer Char"/>
    <w:basedOn w:val="DefaultParagraphFont"/>
    <w:link w:val="Footer"/>
    <w:uiPriority w:val="99"/>
    <w:rsid w:val="008449C7"/>
    <w:rPr>
      <w:rFonts w:ascii="Arial" w:eastAsia="MS Mincho" w:hAnsi="Arial" w:cs="Times New Roman"/>
      <w:sz w:val="20"/>
      <w:szCs w:val="20"/>
      <w:lang w:eastAsia="en-AU"/>
    </w:rPr>
  </w:style>
  <w:style w:type="character" w:customStyle="1" w:styleId="Heading1Char">
    <w:name w:val="Heading 1 Char"/>
    <w:aliases w:val="Subheading 1 Char"/>
    <w:basedOn w:val="DefaultParagraphFont"/>
    <w:link w:val="Heading1"/>
    <w:uiPriority w:val="9"/>
    <w:rsid w:val="00982A06"/>
    <w:rPr>
      <w:rFonts w:ascii="Barlow" w:hAnsi="Barlow" w:cstheme="minorHAnsi"/>
      <w:b/>
      <w:bCs/>
      <w:sz w:val="28"/>
      <w:szCs w:val="28"/>
      <w:shd w:val="clear" w:color="auto" w:fill="FFFFFF"/>
    </w:rPr>
  </w:style>
  <w:style w:type="paragraph" w:styleId="Title">
    <w:name w:val="Title"/>
    <w:basedOn w:val="Heading1"/>
    <w:next w:val="Normal"/>
    <w:link w:val="TitleChar"/>
    <w:uiPriority w:val="10"/>
    <w:qFormat/>
    <w:rsid w:val="00982A06"/>
    <w:rPr>
      <w:i/>
    </w:rPr>
  </w:style>
  <w:style w:type="character" w:customStyle="1" w:styleId="TitleChar">
    <w:name w:val="Title Char"/>
    <w:basedOn w:val="DefaultParagraphFont"/>
    <w:link w:val="Title"/>
    <w:uiPriority w:val="10"/>
    <w:rsid w:val="00982A06"/>
    <w:rPr>
      <w:rFonts w:ascii="Barlow" w:hAnsi="Barlow" w:cstheme="minorHAnsi"/>
      <w:b/>
      <w:bCs/>
      <w:i/>
      <w:sz w:val="28"/>
      <w:szCs w:val="28"/>
      <w:shd w:val="clear" w:color="auto" w:fill="FFFFFF"/>
    </w:rPr>
  </w:style>
  <w:style w:type="character" w:customStyle="1" w:styleId="Heading2Char">
    <w:name w:val="Heading 2 Char"/>
    <w:aliases w:val="Numbered list Char"/>
    <w:basedOn w:val="DefaultParagraphFont"/>
    <w:link w:val="Heading2"/>
    <w:uiPriority w:val="9"/>
    <w:rsid w:val="008449C7"/>
    <w:rPr>
      <w:rFonts w:ascii="Barlow" w:eastAsia="MS Mincho" w:hAnsi="Barlow" w:cstheme="minorHAnsi"/>
      <w:bCs/>
      <w:lang w:eastAsia="en-AU"/>
    </w:rPr>
  </w:style>
  <w:style w:type="character" w:customStyle="1" w:styleId="Heading3Char">
    <w:name w:val="Heading 3 Char"/>
    <w:basedOn w:val="DefaultParagraphFont"/>
    <w:link w:val="Heading3"/>
    <w:uiPriority w:val="9"/>
    <w:rsid w:val="00982A06"/>
    <w:rPr>
      <w:rFonts w:ascii="Barlow" w:eastAsia="MS Mincho" w:hAnsi="Barlow" w:cstheme="minorHAnsi"/>
      <w:b/>
      <w:bCs/>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49663">
      <w:bodyDiv w:val="1"/>
      <w:marLeft w:val="0"/>
      <w:marRight w:val="0"/>
      <w:marTop w:val="0"/>
      <w:marBottom w:val="0"/>
      <w:divBdr>
        <w:top w:val="none" w:sz="0" w:space="0" w:color="auto"/>
        <w:left w:val="none" w:sz="0" w:space="0" w:color="auto"/>
        <w:bottom w:val="none" w:sz="0" w:space="0" w:color="auto"/>
        <w:right w:val="none" w:sz="0" w:space="0" w:color="auto"/>
      </w:divBdr>
    </w:div>
    <w:div w:id="12282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designVoice@nia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msant.org.au/apont/apo-nt-call-on-mps-to-oppose-the-cashless-debit-card-expansion-bill/" TargetMode="External"/><Relationship Id="rId2" Type="http://schemas.openxmlformats.org/officeDocument/2006/relationships/hyperlink" Target="https://tbinternet.ohchr.org/Treaties/CERD/Shared%20Documents/AUS/CERD_C_AUS_CO_18-20_29700_E.pdf" TargetMode="External"/><Relationship Id="rId1" Type="http://schemas.openxmlformats.org/officeDocument/2006/relationships/hyperlink" Target="https://tbinternet.ohchr.org/Treaties/CERD/Shared%20Documents/AUS/CERD_C_AUS_CO_18-20_29700_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Forbes\AppData\Local\Microsoft\Windows\INetCache\Content.Outlook\MO40N2Z4\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BB496-3A55-4407-B112-31D75C25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D9B64-6820-45ED-A36F-D97ED2BAEBD6}">
  <ds:schemaRefs>
    <ds:schemaRef ds:uri="http://purl.org/dc/terms/"/>
    <ds:schemaRef ds:uri="http://schemas.openxmlformats.org/package/2006/metadata/core-properties"/>
    <ds:schemaRef ds:uri="http://schemas.microsoft.com/office/2006/documentManagement/types"/>
    <ds:schemaRef ds:uri="c872389e-c36f-4a1e-bb41-668bdd8bcbb6"/>
    <ds:schemaRef ds:uri="http://schemas.microsoft.com/office/infopath/2007/PartnerControls"/>
    <ds:schemaRef ds:uri="http://purl.org/dc/elements/1.1/"/>
    <ds:schemaRef ds:uri="http://schemas.microsoft.com/office/2006/metadata/properties"/>
    <ds:schemaRef ds:uri="571c91d1-02d8-4661-b904-efa2be2ecd18"/>
    <ds:schemaRef ds:uri="http://www.w3.org/XML/1998/namespace"/>
    <ds:schemaRef ds:uri="http://purl.org/dc/dcmitype/"/>
  </ds:schemaRefs>
</ds:datastoreItem>
</file>

<file path=customXml/itemProps3.xml><?xml version="1.0" encoding="utf-8"?>
<ds:datastoreItem xmlns:ds="http://schemas.openxmlformats.org/officeDocument/2006/customXml" ds:itemID="{A8F88AAF-0A8E-4A14-9031-169D33A531F2}">
  <ds:schemaRefs>
    <ds:schemaRef ds:uri="http://schemas.microsoft.com/sharepoint/v3/contenttype/forms"/>
  </ds:schemaRefs>
</ds:datastoreItem>
</file>

<file path=customXml/itemProps4.xml><?xml version="1.0" encoding="utf-8"?>
<ds:datastoreItem xmlns:ds="http://schemas.openxmlformats.org/officeDocument/2006/customXml" ds:itemID="{C62B7E28-F9E4-485C-A1D8-575884CD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TotalTime>
  <Pages>4</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Forbes</dc:creator>
  <cp:keywords/>
  <dc:description/>
  <cp:lastModifiedBy>Linda Forbes</cp:lastModifiedBy>
  <cp:revision>3</cp:revision>
  <cp:lastPrinted>2021-03-30T03:50:00Z</cp:lastPrinted>
  <dcterms:created xsi:type="dcterms:W3CDTF">2021-03-30T03:47:00Z</dcterms:created>
  <dcterms:modified xsi:type="dcterms:W3CDTF">2021-03-30T03:51:00Z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0x01010015701EE36447A54C938588281439AABB</vt:lpwstr>
  </property>
</Properties>
</file>